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52" w:type="dxa"/>
        <w:jc w:val="center"/>
        <w:tblInd w:w="0" w:type="dxa"/>
        <w:tblLayout w:type="fixed"/>
        <w:tblCellMar>
          <w:top w:w="28" w:type="dxa"/>
          <w:left w:w="28" w:type="dxa"/>
          <w:bottom w:w="28" w:type="dxa"/>
          <w:right w:w="28" w:type="dxa"/>
        </w:tblCellMar>
      </w:tblPr>
      <w:tblGrid>
        <w:gridCol w:w="124"/>
        <w:gridCol w:w="109"/>
        <w:gridCol w:w="109"/>
        <w:gridCol w:w="2780"/>
        <w:gridCol w:w="2780"/>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FOR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THE FISCAL YEAR ENDED June 27,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001-41194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MERCURY SYSTEMS,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left"/>
        <w:tblInd w:w="0" w:type="dxa"/>
        <w:tblLayout w:type="fixed"/>
        <w:tblCellMar>
          <w:top w:w="28" w:type="dxa"/>
          <w:left w:w="28" w:type="dxa"/>
          <w:bottom w:w="28" w:type="dxa"/>
          <w:right w:w="28" w:type="dxa"/>
        </w:tblCellMar>
      </w:tblPr>
      <w:tblGrid>
        <w:gridCol w:w="693"/>
        <w:gridCol w:w="608"/>
        <w:gridCol w:w="608"/>
        <w:gridCol w:w="608"/>
        <w:gridCol w:w="608"/>
        <w:gridCol w:w="624"/>
        <w:gridCol w:w="657"/>
        <w:gridCol w:w="657"/>
        <w:gridCol w:w="935"/>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Massachusetts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04-2741391</w:t>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50 Minuteman Road</w:t>
            </w:r>
          </w:p>
        </w:tc>
        <w:tc>
          <w:tcPr>
            <w:tcW w:w="22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01810</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Andover</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w:t>
            </w:r>
          </w:p>
        </w:tc>
        <w:tc>
          <w:tcPr>
            <w:tcW w:w="22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978-256-1300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EXCHANGE ACT OF 1934:</w:t>
      </w:r>
    </w:p>
    <w:tbl>
      <w:tblPr>
        <w:tblW w:w="7859" w:type="dxa"/>
        <w:jc w:val="center"/>
        <w:tblInd w:w="0" w:type="dxa"/>
        <w:tblLayout w:type="fixed"/>
        <w:tblCellMar>
          <w:top w:w="28" w:type="dxa"/>
          <w:left w:w="28" w:type="dxa"/>
          <w:bottom w:w="28" w:type="dxa"/>
          <w:right w:w="28" w:type="dxa"/>
        </w:tblCellMar>
      </w:tblPr>
      <w:tblGrid>
        <w:gridCol w:w="1126"/>
        <w:gridCol w:w="994"/>
        <w:gridCol w:w="1000"/>
        <w:gridCol w:w="424"/>
        <w:gridCol w:w="424"/>
        <w:gridCol w:w="42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MRCY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EXCHANGE ACT OF 1934: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ind w:left="0" w:right="0" w:firstLine="360"/>
        <w:jc w:val="left"/>
        <w:rPr/>
      </w:pPr>
      <w:r>
        <w:rPr>
          <w:rFonts w:ascii="Times New Roman;serif" w:hAnsi="Times New Roman;serif"/>
          <w:b w:val="false"/>
          <w:color w:val="000000"/>
          <w:sz w:val="16"/>
        </w:rPr>
        <w:t>Large accelerated filer  </w:t>
      </w:r>
      <w:r>
        <w:rPr>
          <w:color w:val="000000"/>
        </w:rPr>
        <w:t>☒  </w:t>
      </w:r>
      <w:r>
        <w:rPr>
          <w:rFonts w:ascii="Times New Roman;serif" w:hAnsi="Times New Roman;serif"/>
          <w:b w:val="false"/>
          <w:color w:val="000000"/>
          <w:sz w:val="16"/>
        </w:rPr>
        <w:t>Accelerated filer  </w:t>
      </w:r>
      <w:r>
        <w:rPr>
          <w:color w:val="000000"/>
        </w:rPr>
        <w:t>☐  </w:t>
      </w:r>
      <w:r>
        <w:rPr>
          <w:rFonts w:ascii="Times New Roman;serif" w:hAnsi="Times New Roman;serif"/>
          <w:b w:val="false"/>
          <w:color w:val="000000"/>
          <w:sz w:val="16"/>
        </w:rPr>
        <w:t>Non-accelerated filer  </w:t>
      </w:r>
      <w:r>
        <w:rPr>
          <w:color w:val="000000"/>
        </w:rPr>
        <w:t>☐  </w:t>
      </w:r>
      <w:r>
        <w:rPr>
          <w:rFonts w:ascii="Times New Roman;serif" w:hAnsi="Times New Roman;serif"/>
          <w:b w:val="false"/>
          <w:color w:val="000000"/>
          <w:sz w:val="16"/>
        </w:rPr>
        <w:t>Smaller reporting company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Emerging growth company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 under Section 404(b) of the Sarbanes-Oxley Act (15 U.S.C.762(b)) by the registered public accounting firm that prepared or issued its audit report. Yes</w:t>
      </w:r>
      <w:r>
        <w:rPr>
          <w:color w:val="000000"/>
        </w:rPr>
        <w:t xml:space="preserve"> ☒ </w:t>
      </w:r>
      <w:r>
        <w:rPr>
          <w:rFonts w:ascii="Times New Roman;serif" w:hAnsi="Times New Roman;serif"/>
          <w:b w:val="false"/>
          <w:color w:val="000000"/>
          <w:sz w:val="16"/>
        </w:rPr>
        <w:t xml:space="preserve">No </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any of those error corrections are restatements that require a recovery analysis of incentive-based compensation received by any of the registrant's executive officers during the relevant recovery period pursuant to Section 240. 10D-1(b).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by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Common Stock held by non-affiliates of the registrant was approximately $2.5 billion based upon the closing price of the Common Stock as reported on the Nasdaq Global Select Market on December 27, 2024, the last business day of the registrant’s most recently completed second fiscal quarter.</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Shares of Common Stock outstanding as of July 31, 2025: 59,915,670 shares.</w:t>
      </w:r>
    </w:p>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its 2025 Annual Meeting of Shareholders are incorporated by reference into Part III of this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Exhibit Index on Page 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7"/>
        <w:gridCol w:w="261"/>
        <w:gridCol w:w="263"/>
        <w:gridCol w:w="2841"/>
        <w:gridCol w:w="2817"/>
        <w:gridCol w:w="2852"/>
        <w:gridCol w:w="255"/>
        <w:gridCol w:w="255"/>
        <w:gridCol w:w="36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0">
              <w:r>
                <w:rPr>
                  <w:rStyle w:val="InternetLink"/>
                  <w:rFonts w:ascii="Times New Roman;serif" w:hAnsi="Times New Roman;serif"/>
                  <w:b/>
                  <w:color w:val="0000FF"/>
                  <w:sz w:val="20"/>
                  <w:u w:val="single"/>
                </w:rPr>
                <w:t>PART I</w:t>
              </w:r>
            </w:hyperlink>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85fbab4b39f490a947cf0bf74aa845a_10">
              <w:r>
                <w:rPr>
                  <w:rStyle w:val="InternetLink"/>
                  <w:rFonts w:ascii="Times New Roman;serif" w:hAnsi="Times New Roman;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3">
              <w:r>
                <w:rPr>
                  <w:rStyle w:val="InternetLink"/>
                  <w:rFonts w:ascii="Times New Roman;serif" w:hAnsi="Times New Roman;serif"/>
                  <w:b w:val="false"/>
                  <w:color w:val="0000FF"/>
                  <w:sz w:val="20"/>
                  <w:u w:val="single"/>
                </w:rPr>
                <w:t>Business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3">
              <w:r>
                <w:rPr>
                  <w:rStyle w:val="InternetLink"/>
                  <w:rFonts w:ascii="Times New Roman;serif" w:hAnsi="Times New Roman;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6">
              <w:r>
                <w:rPr>
                  <w:rStyle w:val="InternetLink"/>
                  <w:rFonts w:ascii="Times New Roman;serif" w:hAnsi="Times New Roman;serif"/>
                  <w:b w:val="false"/>
                  <w:color w:val="0000FF"/>
                  <w:sz w:val="20"/>
                  <w:u w:val="single"/>
                </w:rPr>
                <w:t>Risk Factors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6">
              <w:r>
                <w:rPr>
                  <w:rStyle w:val="InternetLink"/>
                  <w:rFonts w:ascii="Times New Roman;serif" w:hAnsi="Times New Roman;serif"/>
                  <w:b w:val="false"/>
                  <w:color w:val="0000FF"/>
                  <w:sz w:val="20"/>
                  <w:u w:val="single"/>
                </w:rPr>
                <w:t>13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9">
              <w:r>
                <w:rPr>
                  <w:rStyle w:val="InternetLink"/>
                  <w:rFonts w:ascii="Times New Roman;serif" w:hAnsi="Times New Roman;serif"/>
                  <w:b w:val="false"/>
                  <w:color w:val="0000FF"/>
                  <w:sz w:val="20"/>
                  <w:u w:val="single"/>
                </w:rPr>
                <w:t>Unresolved Staff Comments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9">
              <w:r>
                <w:rPr>
                  <w:rStyle w:val="InternetLink"/>
                  <w:rFonts w:ascii="Times New Roman;serif" w:hAnsi="Times New Roman;serif"/>
                  <w:b w:val="false"/>
                  <w:color w:val="0000FF"/>
                  <w:sz w:val="20"/>
                  <w:u w:val="singl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22">
              <w:r>
                <w:rPr>
                  <w:rStyle w:val="InternetLink"/>
                  <w:rFonts w:ascii="Times New Roman;serif" w:hAnsi="Times New Roman;serif"/>
                  <w:b w:val="false"/>
                  <w:color w:val="0000FF"/>
                  <w:sz w:val="20"/>
                  <w:u w:val="single"/>
                </w:rPr>
                <w:t>Cybersecurity</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22">
              <w:r>
                <w:rPr>
                  <w:rStyle w:val="InternetLink"/>
                  <w:rFonts w:ascii="Times New Roman;serif" w:hAnsi="Times New Roman;serif"/>
                  <w:b w:val="false"/>
                  <w:color w:val="0000FF"/>
                  <w:sz w:val="20"/>
                  <w:u w:val="singl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25">
              <w:r>
                <w:rPr>
                  <w:rStyle w:val="InternetLink"/>
                  <w:rFonts w:ascii="Times New Roman;serif" w:hAnsi="Times New Roman;serif"/>
                  <w:b w:val="false"/>
                  <w:color w:val="0000FF"/>
                  <w:sz w:val="20"/>
                  <w:u w:val="single"/>
                </w:rPr>
                <w:t>Properties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25">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28">
              <w:r>
                <w:rPr>
                  <w:rStyle w:val="InternetLink"/>
                  <w:rFonts w:ascii="Times New Roman;serif" w:hAnsi="Times New Roman;serif"/>
                  <w:b w:val="false"/>
                  <w:color w:val="0000FF"/>
                  <w:sz w:val="20"/>
                  <w:u w:val="single"/>
                </w:rPr>
                <w:t>Legal Proceedings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28">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31">
              <w:r>
                <w:rPr>
                  <w:rStyle w:val="InternetLink"/>
                  <w:rFonts w:ascii="Times New Roman;serif" w:hAnsi="Times New Roman;serif"/>
                  <w:b w:val="false"/>
                  <w:color w:val="0000FF"/>
                  <w:sz w:val="20"/>
                  <w:u w:val="single"/>
                </w:rPr>
                <w:t>Mine Safety Disclosures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31">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34">
              <w:r>
                <w:rPr>
                  <w:rStyle w:val="InternetLink"/>
                  <w:rFonts w:ascii="Times New Roman;serif" w:hAnsi="Times New Roman;serif"/>
                  <w:b w:val="false"/>
                  <w:color w:val="0000FF"/>
                  <w:sz w:val="20"/>
                  <w:u w:val="single"/>
                </w:rPr>
                <w:t>Information About Our Executive Officers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34">
              <w:r>
                <w:rPr>
                  <w:rStyle w:val="InternetLink"/>
                  <w:rFonts w:ascii="Times New Roman;serif" w:hAnsi="Times New Roman;serif"/>
                  <w:b w:val="false"/>
                  <w:color w:val="0000FF"/>
                  <w:sz w:val="20"/>
                  <w:u w:val="single"/>
                </w:rPr>
                <w:t>26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37">
              <w:r>
                <w:rPr>
                  <w:rStyle w:val="InternetLink"/>
                  <w:rFonts w:ascii="Times New Roman;serif" w:hAnsi="Times New Roman;serif"/>
                  <w:b/>
                  <w:color w:val="0000FF"/>
                  <w:sz w:val="20"/>
                  <w:u w:val="single"/>
                </w:rPr>
                <w:t>PART II</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37">
              <w:r>
                <w:rPr>
                  <w:rStyle w:val="InternetLink"/>
                  <w:rFonts w:ascii="Times New Roman;serif" w:hAnsi="Times New Roman;serif"/>
                  <w:b w:val="false"/>
                  <w:color w:val="0000FF"/>
                  <w:sz w:val="20"/>
                  <w:u w:val="single"/>
                </w:rPr>
                <w:t>28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40">
              <w:r>
                <w:rPr>
                  <w:rStyle w:val="InternetLink"/>
                  <w:rFonts w:ascii="Times New Roman;serif" w:hAnsi="Times New Roman;serif"/>
                  <w:b w:val="false"/>
                  <w:color w:val="0000FF"/>
                  <w:sz w:val="20"/>
                  <w:u w:val="single"/>
                </w:rPr>
                <w:t>28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43">
              <w:r>
                <w:rPr>
                  <w:rStyle w:val="InternetLink"/>
                  <w:rFonts w:ascii="Times New Roman;serif" w:hAnsi="Times New Roman;serif"/>
                  <w:b w:val="false"/>
                  <w:color w:val="0000FF"/>
                  <w:sz w:val="20"/>
                  <w:u w:val="single"/>
                </w:rPr>
                <w:t>[Reserved]</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43">
              <w:r>
                <w:rPr>
                  <w:rStyle w:val="InternetLink"/>
                  <w:rFonts w:ascii="Times New Roman;serif" w:hAnsi="Times New Roman;serif"/>
                  <w:b w:val="false"/>
                  <w:color w:val="0000FF"/>
                  <w:sz w:val="20"/>
                  <w:u w:val="single"/>
                </w:rPr>
                <w:t>28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46">
              <w:r>
                <w:rPr>
                  <w:rStyle w:val="InternetLink"/>
                  <w:rFonts w:ascii="Times New Roman;serif" w:hAnsi="Times New Roman;serif"/>
                  <w:b w:val="false"/>
                  <w:color w:val="0000FF"/>
                  <w:sz w:val="20"/>
                  <w:u w:val="single"/>
                </w:rPr>
                <w:t>29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52">
              <w:r>
                <w:rPr>
                  <w:rStyle w:val="InternetLink"/>
                  <w:rFonts w:ascii="Times New Roman;serif" w:hAnsi="Times New Roman;serif"/>
                  <w:b w:val="false"/>
                  <w:color w:val="0000FF"/>
                  <w:sz w:val="20"/>
                  <w:u w:val="single"/>
                </w:rPr>
                <w:t>Quantitative and Qualitative Disclosures about Market Risk</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52">
              <w:r>
                <w:rPr>
                  <w:rStyle w:val="InternetLink"/>
                  <w:rFonts w:ascii="Times New Roman;serif" w:hAnsi="Times New Roman;serif"/>
                  <w:b w:val="false"/>
                  <w:color w:val="0000FF"/>
                  <w:sz w:val="20"/>
                  <w:u w:val="single"/>
                </w:rPr>
                <w:t>42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55">
              <w:r>
                <w:rPr>
                  <w:rStyle w:val="InternetLink"/>
                  <w:rFonts w:ascii="Times New Roman;serif" w:hAnsi="Times New Roman;serif"/>
                  <w:b w:val="false"/>
                  <w:color w:val="0000FF"/>
                  <w:sz w:val="20"/>
                  <w:u w:val="single"/>
                </w:rPr>
                <w:t>Financial Statements and Supplementary Data</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55">
              <w:r>
                <w:rPr>
                  <w:rStyle w:val="InternetLink"/>
                  <w:rFonts w:ascii="Times New Roman;serif" w:hAnsi="Times New Roman;serif"/>
                  <w:b w:val="false"/>
                  <w:color w:val="0000FF"/>
                  <w:sz w:val="20"/>
                  <w:u w:val="single"/>
                </w:rPr>
                <w:t>45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6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63">
              <w:r>
                <w:rPr>
                  <w:rStyle w:val="InternetLink"/>
                  <w:rFonts w:ascii="Times New Roman;serif" w:hAnsi="Times New Roman;serif"/>
                  <w:b w:val="false"/>
                  <w:color w:val="0000FF"/>
                  <w:sz w:val="20"/>
                  <w:u w:val="single"/>
                </w:rPr>
                <w:t>77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66">
              <w:r>
                <w:rPr>
                  <w:rStyle w:val="InternetLink"/>
                  <w:rFonts w:ascii="Times New Roman;serif" w:hAnsi="Times New Roman;serif"/>
                  <w:b w:val="false"/>
                  <w:color w:val="0000FF"/>
                  <w:sz w:val="20"/>
                  <w:u w:val="single"/>
                </w:rPr>
                <w:t>Controls and Procedures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66">
              <w:r>
                <w:rPr>
                  <w:rStyle w:val="InternetLink"/>
                  <w:rFonts w:ascii="Times New Roman;serif" w:hAnsi="Times New Roman;serif"/>
                  <w:b w:val="false"/>
                  <w:color w:val="0000FF"/>
                  <w:sz w:val="20"/>
                  <w:u w:val="single"/>
                </w:rPr>
                <w:t>77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69">
              <w:r>
                <w:rPr>
                  <w:rStyle w:val="InternetLink"/>
                  <w:rFonts w:ascii="Times New Roman;serif" w:hAnsi="Times New Roman;serif"/>
                  <w:b w:val="false"/>
                  <w:color w:val="0000FF"/>
                  <w:sz w:val="20"/>
                  <w:u w:val="single"/>
                </w:rPr>
                <w:t>Other Information</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69">
              <w:r>
                <w:rPr>
                  <w:rStyle w:val="InternetLink"/>
                  <w:rFonts w:ascii="Times New Roman;serif" w:hAnsi="Times New Roman;serif"/>
                  <w:b w:val="false"/>
                  <w:color w:val="0000FF"/>
                  <w:sz w:val="20"/>
                  <w:u w:val="single"/>
                </w:rPr>
                <w:t>77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72">
              <w:r>
                <w:rPr>
                  <w:rStyle w:val="InternetLink"/>
                  <w:rFonts w:ascii="Times New Roman;serif" w:hAnsi="Times New Roman;serif"/>
                  <w:b w:val="false"/>
                  <w:color w:val="0000FF"/>
                  <w:sz w:val="20"/>
                  <w:u w:val="single"/>
                </w:rPr>
                <w:t>Disclosure Regarding Foreign Jurisdictions that Prevent Inspections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72">
              <w:r>
                <w:rPr>
                  <w:rStyle w:val="InternetLink"/>
                  <w:rFonts w:ascii="Times New Roman;serif" w:hAnsi="Times New Roman;serif"/>
                  <w:b w:val="false"/>
                  <w:color w:val="0000FF"/>
                  <w:sz w:val="20"/>
                  <w:u w:val="single"/>
                </w:rPr>
                <w:t>77</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75">
              <w:r>
                <w:rPr>
                  <w:rStyle w:val="InternetLink"/>
                  <w:rFonts w:ascii="Times New Roman;serif" w:hAnsi="Times New Roman;serif"/>
                  <w:b/>
                  <w:color w:val="0000FF"/>
                  <w:sz w:val="20"/>
                  <w:u w:val="single"/>
                </w:rPr>
                <w:t>PART III</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75">
              <w:r>
                <w:rPr>
                  <w:rStyle w:val="InternetLink"/>
                  <w:rFonts w:ascii="Times New Roman;serif" w:hAnsi="Times New Roman;serif"/>
                  <w:b w:val="false"/>
                  <w:color w:val="0000FF"/>
                  <w:sz w:val="20"/>
                  <w:u w:val="single"/>
                </w:rPr>
                <w:t>77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78">
              <w:r>
                <w:rPr>
                  <w:rStyle w:val="InternetLink"/>
                  <w:rFonts w:ascii="Times New Roman;serif" w:hAnsi="Times New Roman;serif"/>
                  <w:b w:val="false"/>
                  <w:color w:val="0000FF"/>
                  <w:sz w:val="20"/>
                  <w:u w:val="single"/>
                </w:rPr>
                <w:t>Directors, Executive Officers and Corporate Governance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78">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81">
              <w:r>
                <w:rPr>
                  <w:rStyle w:val="InternetLink"/>
                  <w:rFonts w:ascii="Times New Roman;serif" w:hAnsi="Times New Roman;serif"/>
                  <w:b w:val="false"/>
                  <w:color w:val="0000FF"/>
                  <w:sz w:val="20"/>
                  <w:u w:val="single"/>
                </w:rPr>
                <w:t>Executive Compensation</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81">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84">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87">
              <w:r>
                <w:rPr>
                  <w:rStyle w:val="InternetLink"/>
                  <w:rFonts w:ascii="Times New Roman;serif" w:hAnsi="Times New Roman;serif"/>
                  <w:b w:val="false"/>
                  <w:color w:val="0000FF"/>
                  <w:sz w:val="20"/>
                  <w:u w:val="single"/>
                </w:rPr>
                <w:t>Certain Relationships and Related Transactions, and Director Independence</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87">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90">
              <w:r>
                <w:rPr>
                  <w:rStyle w:val="InternetLink"/>
                  <w:rFonts w:ascii="Times New Roman;serif" w:hAnsi="Times New Roman;serif"/>
                  <w:b w:val="false"/>
                  <w:color w:val="0000FF"/>
                  <w:sz w:val="20"/>
                  <w:u w:val="single"/>
                </w:rPr>
                <w:t>Principal Accounting Fees and Services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90">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93">
              <w:r>
                <w:rPr>
                  <w:rStyle w:val="InternetLink"/>
                  <w:rFonts w:ascii="Times New Roman;serif" w:hAnsi="Times New Roman;serif"/>
                  <w:b/>
                  <w:color w:val="0000FF"/>
                  <w:sz w:val="20"/>
                  <w:u w:val="single"/>
                </w:rPr>
                <w:t>PART IV</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93">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96">
              <w:r>
                <w:rPr>
                  <w:rStyle w:val="InternetLink"/>
                  <w:rFonts w:ascii="Times New Roman;serif" w:hAnsi="Times New Roman;serif"/>
                  <w:b w:val="false"/>
                  <w:color w:val="0000FF"/>
                  <w:sz w:val="20"/>
                  <w:u w:val="single"/>
                </w:rPr>
                <w:t>Exhibits and Financial Statement Schedules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96">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199">
              <w:r>
                <w:rPr>
                  <w:rStyle w:val="InternetLink"/>
                  <w:rFonts w:ascii="Times New Roman;serif" w:hAnsi="Times New Roman;serif"/>
                  <w:b w:val="false"/>
                  <w:color w:val="0000FF"/>
                  <w:sz w:val="20"/>
                  <w:u w:val="single"/>
                </w:rPr>
                <w:t>Form 10-K Summary</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199">
              <w:r>
                <w:rPr>
                  <w:rStyle w:val="InternetLink"/>
                  <w:rFonts w:ascii="Times New Roman;serif" w:hAnsi="Times New Roman;serif"/>
                  <w:b w:val="false"/>
                  <w:color w:val="0000FF"/>
                  <w:sz w:val="20"/>
                  <w:u w:val="single"/>
                </w:rPr>
                <w:t>78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202">
              <w:r>
                <w:rPr>
                  <w:rStyle w:val="InternetLink"/>
                  <w:rFonts w:ascii="Times New Roman;serif" w:hAnsi="Times New Roman;serif"/>
                  <w:b w:val="false"/>
                  <w:color w:val="0000FF"/>
                  <w:sz w:val="20"/>
                  <w:u w:val="single"/>
                </w:rPr>
                <w:t>Signatures</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202">
              <w:r>
                <w:rPr>
                  <w:rStyle w:val="InternetLink"/>
                  <w:rFonts w:ascii="Times New Roman;serif" w:hAnsi="Times New Roman;serif"/>
                  <w:b w:val="false"/>
                  <w:color w:val="0000FF"/>
                  <w:sz w:val="20"/>
                  <w:u w:val="single"/>
                </w:rPr>
                <w:t>80</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5fbab4b39f490a947cf0bf74aa845a_205">
              <w:r>
                <w:rPr>
                  <w:rStyle w:val="InternetLink"/>
                  <w:rFonts w:ascii="Times New Roman;serif" w:hAnsi="Times New Roman;serif"/>
                  <w:b w:val="false"/>
                  <w:color w:val="0000FF"/>
                  <w:sz w:val="20"/>
                  <w:u w:val="single"/>
                </w:rPr>
                <w:t>Exhibit Index</w:t>
              </w:r>
            </w:hyperlink>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fbab4b39f490a947cf0bf74aa845a_205">
              <w:r>
                <w:rPr>
                  <w:rStyle w:val="InternetLink"/>
                  <w:rFonts w:ascii="Times New Roman;serif" w:hAnsi="Times New Roman;serif"/>
                  <w:b w:val="false"/>
                  <w:color w:val="0000FF"/>
                  <w:sz w:val="20"/>
                  <w:u w:val="single"/>
                </w:rPr>
                <w:t>81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ind w:left="0" w:right="0" w:firstLine="495"/>
        <w:jc w:val="both"/>
        <w:rPr>
          <w:rFonts w:ascii="Times New Roman;serif" w:hAnsi="Times New Roman;serif"/>
          <w:b/>
          <w:color w:val="000000"/>
          <w:sz w:val="20"/>
        </w:rPr>
      </w:pPr>
      <w:r>
        <w:rPr>
          <w:rFonts w:ascii="Times New Roman;serif" w:hAnsi="Times New Roman;serif"/>
          <w:b/>
          <w:color w:val="000000"/>
          <w:sz w:val="20"/>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The reader may find discussions containing such forward-looking statements in the material set forth under “Management's Discussion and Analysis of Financial Conditions and Results of Operations” as well as elsewhere in this Annual Report on Form 10-K. Certain factors that might cause such a difference are discussed in this annual report on Form 10-K, including in the section entitled “Risk Factors.”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When used in this report, the terms “Mercury,” “we,” “our,” “us,” and “the Company” refer to Mercury Systems, Inc. and its consolidated subsidiaries, except where the context otherwise requires or as otherwise indicated.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fiscal 2025 are to the 52-week period from June 29, 2024 to June 27, 2025. All references to fiscal 2024 are to the 52-week period from July 1, 2023 to June 28, 2024. All references to fiscal 2023 are to the 52-week period from July 2, 2022 to June 30, 2023.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1.BUSINESS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Systems is a technology company that delivers mission-critical processing to the edge - where signals and data are collected - to solve the most pressing aerospace and defense challenges. Mercury’s products and solutions are deployed in more than 300 programs and across 35 countries. The Company is headquartered in Andover, Massachusetts, and has over 20 locations worldwide.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the unique advantage we provide to our customers. It comprises the innovative technologies we’ve developed and acquired for more than 40 years that bring integrated, mission-critical processing to the edge. Our processing platform spans the full breadth of signal processing—from radio frequency (“RF”) front end to the human-machine interface—to rapidly convert meaningful data, gathered in the most remote and hostile environments, into critical decisions. It allows us to offer standard products and custom solutions from silicon to system scale, including components, modules, subsystems, and systems and it embodies the customer-centric approach we take to delivering capabilities that are mission-ready, trusted and secure, software-defined, and open and modular.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leading manufacturer of essential components, products, modules and subsystems, we sell to the top U.S. and European defense prime contractors, the U.S. government and original equipment manufacturers (“OEM”) commercial aerospace companies. Our mission-critical products and solutions are deployed by our customers for a variety of applications including sensor and radar processing, electronic warfare, avionics, weapons, and command, control, communications, and intelligence (“C4I”). Mercury has built a trusted, robust portfolio of proven capabilities, leveraging the most advanced commercial silicon technologies and purpose-built to exceed the performance needs of our defense and commercial customers. Customers add their own applications and algorithms to our specialized, secure, and innovative products and pre-integrated solutions. This allows them to complete their full system by integrating with their platform, the sensor technology and, increasingly, the processing from Mercury.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deep, long-standing relationships with leading high-tech and other commercial companies, coupled with our targeted research and development (“R&amp;D”) investments and industry-leading trusted and secure design and manufacturing capabilities, are the foundational tenets of this highly successful model. We are leading the development and adaptation of commercial technology for aerospace and defense solutions. From chip-scale to system scale and from data, including RF to digital to decision, we make mission-critical technologies safe, secure, affordable and relevant for our customers.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capabilities, technology, people and R&amp;D investment strategy combine to differentiate Mercury in our industry. We maintain our technological edge by investing in critical capabilities and intellectual property (“IP” or “building blocks”) in processing, leveraging open standards and open architectures to adapt quickly those building blocks into solutions for highly data-intensive applications, including emerging needs in areas such as artificial intelligence (“AI”).</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consolidated revenues, net loss, diluted loss per share, adjusted earnings per share, and adjusted EBITDA for fiscal 2025 were $912.0 million, $(37.9) million, $(0.65), $0.64 and $119.4 million, respectively. Our consolidated revenues, net loss, diluted loss per share, adjusted loss per share, and adjusted EBITDA for fiscal 2024 were $835.3 million, $(137.6) million, $(2.38), $(0.69) and $9.4 million, respectively. See the Non-GAAP Financial Measures section of this annual report for a reconciliation of our adjusted EPS and adjusted EBITDA to the most directly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Business Strategy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Mercury’s business strategy is based on a differentiated market position: we make trusted, secure, mission critical technologies profoundly more accessible to the aerospace and defense industry. The Mercury Processing Platform serves customers with cutting-edge commercial technology innovations, purpose built and mission-ready for aerospace and defense applications. We have two models within the business: a product model and a solutions model, which have different approaches for innovation and go-to-market. In our product businesses, we invest in internal R&amp;D to develop new capabilities that can be leveraged by multiple customers and support a wide variety of mission areas and applications. In our solutions business, we engage with customers to develop capabilities that meet exacting mission requirements and retire risk in a development phase before entering a production phase that can last many years and include numerous technological evolutions. Our businesses are complementary and synergistic, as they are organized within a single integrated operating unit, leverage common human and capital resources, and share IP to accelerate innovation across our offerings.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structure is aligned and optimized to execute against these different business models. In 2024, we reorganized to streamline and simplify operations, consolidating two divisions into a single integrated structure that unified all lines of business and matrixed business functions. Our U.S.-based businesses are aligned into two product-oriented business units – Signal Technologies and Processing Technologies –and a third business unit focused on more comprehensive solutions – Integrated Processing Solutions. A fourth business unit is dedicated to bringing our advanced edge processing capabilities to the international market, with facilities in the U.K., Spain, and Switzerland. Our Engineering, Operations, and Mission Assurance organizations are also centralized to drive performance excellence. Our Advanced Concepts Group, combined with our integrated Growth organization and the office of the Chief Technology Officer are focused on innovation and ensuring that our Processing Platform continues to solve our customer's most challenging processing requirements into the future.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focused on delivering industry-leading organic growth, adjusted EBITDA margins, and cash flow through the execution of our strategy to innovate and advance our processing platform, expand our content across A&amp;D platforms, and deliver uncompromising performance for all of our stakeholders. Our ability to continue to improve our performance and deliver results demands we all align around the few actions that unlock the intrinsic value in our business. As such, our focus is on four areas that unlock our capacity to create value and reinvest for growth:</w:t>
      </w:r>
    </w:p>
    <w:p>
      <w:pPr>
        <w:pStyle w:val="TextBody"/>
        <w:bidi w:val="0"/>
        <w:spacing w:lineRule="auto" w:line="288" w:before="100" w:after="283"/>
        <w:ind w:left="0" w:right="0" w:firstLine="495"/>
        <w:jc w:val="both"/>
        <w:rPr/>
      </w:pPr>
      <w:r>
        <w:rPr>
          <w:rFonts w:ascii="Times New Roman;serif" w:hAnsi="Times New Roman;serif"/>
          <w:b w:val="false"/>
          <w:color w:val="000000"/>
          <w:sz w:val="20"/>
        </w:rPr>
        <w:t>1.</w:t>
      </w:r>
      <w:r>
        <w:rPr>
          <w:rFonts w:ascii="Times New Roman;serif" w:hAnsi="Times New Roman;serif"/>
          <w:b w:val="false"/>
          <w:i/>
          <w:color w:val="000000"/>
          <w:sz w:val="20"/>
        </w:rPr>
        <w:t>Performance Excellence –</w:t>
      </w:r>
      <w:r>
        <w:rPr>
          <w:color w:val="000000"/>
        </w:rPr>
        <w:t xml:space="preserve"> </w:t>
      </w:r>
      <w:r>
        <w:rPr>
          <w:rFonts w:ascii="Times New Roman;serif" w:hAnsi="Times New Roman;serif"/>
          <w:b w:val="false"/>
          <w:color w:val="000000"/>
          <w:sz w:val="20"/>
        </w:rPr>
        <w:t>Ramp critical production programs aligned with our value creation model, deliver key development programs and product innovations, and mature our management systems and processes.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2.</w:t>
      </w:r>
      <w:r>
        <w:rPr>
          <w:rFonts w:ascii="Times New Roman;serif" w:hAnsi="Times New Roman;serif"/>
          <w:b w:val="false"/>
          <w:i/>
          <w:color w:val="000000"/>
          <w:sz w:val="20"/>
        </w:rPr>
        <w:t>Thriving Growth Engine –</w:t>
      </w:r>
      <w:r>
        <w:rPr>
          <w:color w:val="000000"/>
        </w:rPr>
        <w:t xml:space="preserve"> </w:t>
      </w:r>
      <w:r>
        <w:rPr>
          <w:rFonts w:ascii="Times New Roman;serif" w:hAnsi="Times New Roman;serif"/>
          <w:b w:val="false"/>
          <w:color w:val="000000"/>
          <w:sz w:val="20"/>
        </w:rPr>
        <w:t>Create a growth engine that is consistently bidding and winning new contracts to drive industry leading organic growth at target margins.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3.</w:t>
      </w:r>
      <w:r>
        <w:rPr>
          <w:rFonts w:ascii="Times New Roman;serif" w:hAnsi="Times New Roman;serif"/>
          <w:b w:val="false"/>
          <w:i/>
          <w:color w:val="000000"/>
          <w:sz w:val="20"/>
        </w:rPr>
        <w:t xml:space="preserve">Margin Expansion – </w:t>
      </w:r>
      <w:r>
        <w:rPr>
          <w:rFonts w:ascii="Times New Roman;serif" w:hAnsi="Times New Roman;serif"/>
          <w:b w:val="false"/>
          <w:color w:val="000000"/>
          <w:sz w:val="20"/>
        </w:rPr>
        <w:t>Drive comprehensive cost management efforts corporate-wide including improvement in gross margins across all programs and products.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4.</w:t>
      </w:r>
      <w:r>
        <w:rPr>
          <w:rFonts w:ascii="Times New Roman;serif" w:hAnsi="Times New Roman;serif"/>
          <w:b w:val="false"/>
          <w:i/>
          <w:color w:val="000000"/>
          <w:sz w:val="20"/>
        </w:rPr>
        <w:t xml:space="preserve">Cash Release – </w:t>
      </w:r>
      <w:r>
        <w:rPr>
          <w:rFonts w:ascii="Times New Roman;serif" w:hAnsi="Times New Roman;serif"/>
          <w:b w:val="false"/>
          <w:color w:val="000000"/>
          <w:sz w:val="20"/>
        </w:rPr>
        <w:t>Enhance our cash flow conversion, including improvements in delivery and collection.</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Our Solutions and Products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believe we have built the most trusted, proven, contemporary portfolio of solutions and sub-systems that are purpose-built to meet or exceed our customers’ most pressing processing needs. The Mercury Processing Platform now has an end-to-end suite of mission-critical processing technologies, comprising:</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Signal:</w:t>
      </w:r>
      <w:r>
        <w:rPr>
          <w:color w:val="000000"/>
        </w:rPr>
        <w:t xml:space="preserve"> </w:t>
      </w:r>
      <w:r>
        <w:rPr>
          <w:rFonts w:ascii="Times New Roman;serif" w:hAnsi="Times New Roman;serif"/>
          <w:b w:val="false"/>
          <w:color w:val="000000"/>
          <w:sz w:val="20"/>
        </w:rPr>
        <w:t xml:space="preserve">Microwave and mixed-signal technology for analog and digital signal processing, including frequency conversion, signal conditioning/routing, digitization, and low-latency FPGA processing. </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Compute:</w:t>
      </w:r>
      <w:r>
        <w:rPr>
          <w:color w:val="000000"/>
        </w:rPr>
        <w:t xml:space="preserve"> </w:t>
      </w:r>
      <w:r>
        <w:rPr>
          <w:rFonts w:ascii="Times New Roman;serif" w:hAnsi="Times New Roman;serif"/>
          <w:b w:val="false"/>
          <w:color w:val="000000"/>
          <w:sz w:val="20"/>
        </w:rPr>
        <w:t xml:space="preserve">State-of-the-art digital data processing to ensure decision advantage, ranging from general purpose to tailored coprocessors, with high-performance CPU and GPU architectures. </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Data Management:</w:t>
      </w:r>
      <w:r>
        <w:rPr>
          <w:color w:val="000000"/>
        </w:rPr>
        <w:t xml:space="preserve"> </w:t>
      </w:r>
      <w:r>
        <w:rPr>
          <w:rFonts w:ascii="Times New Roman;serif" w:hAnsi="Times New Roman;serif"/>
          <w:b w:val="false"/>
          <w:color w:val="000000"/>
          <w:sz w:val="20"/>
        </w:rPr>
        <w:t xml:space="preserve">Data and video recording, storage, and encryption to mitigate cyber vulnerability; connectivity and communications control to securely and efficiently share mission data. </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Display:</w:t>
      </w:r>
      <w:r>
        <w:rPr>
          <w:color w:val="000000"/>
        </w:rPr>
        <w:t xml:space="preserve"> </w:t>
      </w:r>
      <w:r>
        <w:rPr>
          <w:rFonts w:ascii="Times New Roman;serif" w:hAnsi="Times New Roman;serif"/>
          <w:b w:val="false"/>
          <w:color w:val="000000"/>
          <w:sz w:val="20"/>
        </w:rPr>
        <w:t>Products and technologies that integrate the human and machine to speed decision-making for mission execution.</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Secure:</w:t>
      </w:r>
      <w:r>
        <w:rPr>
          <w:color w:val="000000"/>
        </w:rPr>
        <w:t xml:space="preserve"> </w:t>
      </w:r>
      <w:r>
        <w:rPr>
          <w:rFonts w:ascii="Times New Roman;serif" w:hAnsi="Times New Roman;serif"/>
          <w:b w:val="false"/>
          <w:color w:val="000000"/>
          <w:sz w:val="20"/>
        </w:rPr>
        <w:t>Security engineering to ensure system wide integrity and protect Critical Program Information, IP and sensitive data–including securing boot, key management, attack countermeasures and memory management.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deliver technology at the intersection of the high-tech and defense industries, underpinned by key differentiators that set us apart in the market: Mission-Ready; Trusted and Secure; Software-Defined; and Open and Modular.</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 xml:space="preserve">Mission-Ready: </w:t>
      </w:r>
      <w:r>
        <w:rPr>
          <w:rFonts w:ascii="Times New Roman;serif" w:hAnsi="Times New Roman;serif"/>
          <w:b w:val="false"/>
          <w:color w:val="000000"/>
          <w:sz w:val="20"/>
        </w:rPr>
        <w:t xml:space="preserve">Fit for purpose to meet the demanding needs of our customers’ missions. Advanced thermal management and rugged packaging technology ensures optimal performance and reliable operation in the most challenging environments on Earth and beyond. We deliver extended reliability and dependability through thermal management, component selection, environmental protection and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Trusted and Secure</w:t>
      </w:r>
      <w:r>
        <w:rPr>
          <w:rFonts w:ascii="Times New Roman;serif" w:hAnsi="Times New Roman;serif"/>
          <w:b w:val="false"/>
          <w:color w:val="000000"/>
          <w:sz w:val="20"/>
        </w:rPr>
        <w:t>: A trusted supply chain, with products designed and manufactured onshore. Advanced cryptography, secure boot and physical protection technologies like our BuiltSECURE technology can mitigate reverse engineering, deliver cyber resiliency and safeguard confidential data and IP against adversarial threats, even when a system has been compromised. We also design safety-certifiable BuiltSAFE processing systems up to the highest design assurance levels.</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Software-Defined</w:t>
      </w:r>
      <w:r>
        <w:rPr>
          <w:rFonts w:ascii="Times New Roman;serif" w:hAnsi="Times New Roman;serif"/>
          <w:b w:val="false"/>
          <w:color w:val="000000"/>
          <w:sz w:val="20"/>
        </w:rPr>
        <w:t>: Software enabled hardware for future proofing, rapid scaling, ease of maintenance and affordability. Flexible hardware architectures that are reconfigurable and upgradeable with software to extend the life of our systems and the platforms they are deployed on. Our model-based systems engineering (“MBSE”) design approach aims to significantly decrease the time and cost involved in developing and deploying military and aerospace platforms.</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Open and Modular</w:t>
      </w:r>
      <w:r>
        <w:rPr>
          <w:rFonts w:ascii="Times New Roman;serif" w:hAnsi="Times New Roman;serif"/>
          <w:b w:val="false"/>
          <w:color w:val="000000"/>
          <w:sz w:val="20"/>
        </w:rPr>
        <w:t xml:space="preserve">: “Plug and play”, upgradeable and scalable. A modular, open, systems architecture (“MOSA”) approach to system design maximizes technology reuse to dramatically reduce development time and cost. This open systems approach mitigates obsolescence risk while emphasizing commonality, interoperability and sustainability across platforms and domains.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designed to meet the full range of requirements in compute-intensive, signal processing, image processing and command and control applications. To maintain a competitive advantage, we seek to leverage technology investments across multiple lines of business. Examples of hardware products include small, custom microelectronics, embedded sensor processing subsystems, RF and microwave components, modules and subsystems, rugged servers and avionics mission computers.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products are typically compute-intensive and require extremely high bandwidth and high throughput. These systems often must also meet significant size, weight and power (“SWaP”) constraints for use in aircraft, unmanned aerial vehicles (“UAVs”), ships and other platforms and be ruggedized for use in harsh environments. They are primarily used in both commercial aerospace applications, such as communications and ground radar air traffic control, as well as advanced defense and intelligence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group our products into the following categories:</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Components</w:t>
      </w:r>
      <w:r>
        <w:rPr>
          <w:rFonts w:ascii="Times New Roman;serif" w:hAnsi="Times New Roman;serif"/>
          <w:b w:val="false"/>
          <w:color w:val="000000"/>
          <w:sz w:val="20"/>
        </w:rPr>
        <w:t>. Components represent the basic building blocks of an electronic system. They generally perform a single function such as switching, storing or converting electronic signals. Some examples include power amplifiers and limiters, switches, oscillators, filters, equalizers, digital and analog converters, chips, MMICs (monolithic microwave integrated circuits) and memory and storage devices.</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Modules and Subassemblies</w:t>
      </w:r>
      <w:r>
        <w:rPr>
          <w:rFonts w:ascii="Times New Roman;serif" w:hAnsi="Times New Roman;serif"/>
          <w:b w:val="false"/>
          <w:color w:val="000000"/>
          <w:sz w:val="20"/>
        </w:rPr>
        <w:t>. Modules and sub-assemblies combine multiple components to serve a range of complex functions, including processing, networking and graphics display. Typically delivered as computer boards or other packaging, modules and sub-assemblies are usually designed using open standards to provide interoperability when integrated in a subsystem. Examples of modules and sub-assemblies include embedded processing boards, switched fabrics and boards for high-speed input/output, digital receivers, graphics and video, along with multi-chip modules. Additional examples include integrated radio frequency and microwave multi-function assemblies and radio frequency tuners and transceivers.</w:t>
      </w:r>
    </w:p>
    <w:p>
      <w:pPr>
        <w:pStyle w:val="TextBody"/>
        <w:bidi w:val="0"/>
        <w:spacing w:lineRule="auto" w:line="288" w:before="100" w:after="283"/>
        <w:ind w:left="0" w:right="0" w:firstLine="495"/>
        <w:jc w:val="both"/>
        <w:rPr/>
      </w:pPr>
      <w:r>
        <w:rPr>
          <w:color w:val="000000"/>
        </w:rPr>
        <w:t>•</w:t>
      </w:r>
      <w:r>
        <w:rPr>
          <w:rFonts w:ascii="Times New Roman;serif" w:hAnsi="Times New Roman;serif"/>
          <w:b w:val="false"/>
          <w:i/>
          <w:color w:val="000000"/>
          <w:sz w:val="20"/>
        </w:rPr>
        <w:t>Integrated Solutions</w:t>
      </w:r>
      <w:r>
        <w:rPr>
          <w:rFonts w:ascii="Times New Roman;serif" w:hAnsi="Times New Roman;serif"/>
          <w:b w:val="false"/>
          <w:color w:val="000000"/>
          <w:sz w:val="20"/>
        </w:rPr>
        <w:t>. Integrated solutions bring components, modules and/or sub-assemblies into one system, enabled with software. Subsystems are typically, but not always, integrated within an open standards-based chassis and often feature interconnect technologies to enable communication between disparate systems. Spares and replacement modules and sub-assemblies are provided for use with subsystems sold by us. Our subsystems are deployed in sensor processing, aviation and mission computing and C4I applications.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By providing pre-integrated subsystems to our customers, we enable them to rapidly and cost-effectively port and adapt their applications to changing threats. This approach also saves our customers valuable time and expense, as their initial costs to integrate modules and components typically far exceed the costs of the individual product procurement. This benefit continues over time because we are continually investing R&amp;D into our products. This allows us to provide our customers the latest technologies in our pre-integrated subsystems faster than they can typically do it themselves. We believe this is a better business and technology model to operate within, as it continues to provide value and benefits to us and our customers over time.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engage with global tech leaders to align technology roadmaps and deliver cutting-edge computing in scalable, field-deployable form factors that are fully configurable to each unique workload. We use the latest Altera® server-class processing products, AMD Field Programmable Gate Arrays (“FPGA”), as well as NVIDIA GPU products in our embedded high-performance processing technologies. While this multi-computing and embedded processing technology is one of our core capabilities, the SWaP constraints inherent in high-performance embedded processing applications create unique challenges. For example, to address customer needs for faster signal conversion in radar, communications, electronic warfare, signals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intelligence, and industrial applications, in the past year we introduced several products powered by Altera's most advanced Agilex 9 Direct RF FPGA chips that allow radio frequency signals to be directly digitized at the antenna, eliminating the analog signal down conversion stages required by legacy hardware.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Embedded systems security has become a requirement for new and emerging military programs and our security solutions are a critical differentiator from our traditional competition. These security solutions, combined with our next-generation secure Intel® server-class product line, together with increasingly frequent mandates from the government to secure electronic systems for domestic and foreign military sales, position us well to capitalize on U.S. Department of Defense (“DoD”) program protection security requirements. Finally, our built-in security framework creates higher product differentiation, and drives greater program velocity, while lowering risk.</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Open Standards Support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has a long history of driving modular open systems architectures and has remained committed to creating, advancing and adopting open standards for all our products, from our smallest components and connectors to our largest, high-performance, integrated multi-computer systems. With over forty years of technology leadership within the high-performance embedded computing industry, we have pioneered or contributed to the development of many of the defense industry’s current and emerging open standards, including standards such as RACEway, RapidIO, VXS, VPX, REDI and notably OpenVPX. These open standards allow system integrators to benefit from the interoperability of modules produced by multiple vendors. We also continue to be influential in the industry-standards organizations associated with our market segments. As a member of the VMEbus International Trade Association (“VITA”), the Sensor Open Systems Architecture (“SOSA”) initiative, the Future Airborne Capability Environment (“FACE”) consortium and the Vehicular Integration for C4ISR/EW Interoperability (“VICTORY”) consortium, among other standards bodies, Mercury is helping to guide the aerospace and defense industry toward greater openness and vendor interoperability, consistent with the DoD’s focus on using MOSA in major programs.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software is based on open standards and includes heterogeneous processor support with extensive highly-optimized math libraries, multi-computing switch fabric support, net-centric and system management enabling services, extended operating system services, board support packages and development tools. This software platform delivers on the performance required for highly tuned real-time operation with the flexibility of open standards that are an essential ingredient of technology insertion and software life-cycle support.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the U.S. government mandates more outsourcing and open standards, a major shift is occurring within the defense prime contractor community towards procurement of integrated subsystems that enable quick application-level porting through standards-based methodologies. We believe that our core expertise in this area is well aligned to capitalize on this trend. By leveraging our open architecture and high-performance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Commitment to Deliver Uncompromised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Mercury, this means ensuring our products and solutions have not been and cannot be tampered with, and that what we deliver to our customers is not compromised at any point during the development lifecycle, from procurement to manufacturing. Our holistic approach to deliver uncompromised includes: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vigorously mitigating potential insider threats;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proactively protecting our IT infrastructure with strong cybersecurity defenses;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effectively managing and assessing our suppliers’ controls;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judiciously controlling design information through the entire development process.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investing in digital transformation, insider trust, cybersecurity, supply chain management and trusted microelectronics, all integral to our commitment to being a leader in delivering uncompromised solutions to our customers.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Market Opportunity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serves a large and growing global defense technology market with strong tailwinds from the current defense super-cycle and secular growth targets. We are focused on the Tier 2 and Tier 3 defense technology market, which continues to grow at a faster rate than the expected increase in total U.S. defense spending.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demand drivers for our unique capabilities include: an increased commitment to defense spending by U.S. allies in light of the dynamic threat environment in Europe and Asia; ongoing modernization of legacy defense platforms to maintain relevance in the current near-peer threat environment; increasing electronification of next-generation defense systems, where electronics are driving capability enhancements on next-gen programs; outsourcing and delayering from the government and prime customers seeking to access innovation from smaller players like Mercury; and a focus on open systems, which allow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customers to upgrade capabilities more rapidly and efficiently and better leverage advances in commercial technology such as AI-powered processing.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market can be segmented into verticals aligned with mission capabilities, and a value chain that consists of prime integrators that contract directly with the government and deliver large scale platforms. Supporting the primes is a multi-tiered supplier base that delivers components and modules through standalone subsystems and integrated subsystems. Mercury spans several levels of this supply chain, typically working directly with the government or primes in our program business, while selling our products into third- and fourth-tier suppliers. Because of the broad demand for high-performance processing at the edge across defense missions, we operate in a number of the larger, faster growing parts of the market, from C4I to sensor processing, and spanning all operational domains—air, land, sea, space, and cyber.</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The breadth and depth of our Processing Platform enables us to play vertically from components, or chip-scale, all the way to integrated processing solutions,</w:t>
      </w:r>
      <w:r>
        <w:rPr>
          <w:color w:val="000000"/>
        </w:rPr>
        <w:t xml:space="preserve"> </w:t>
      </w:r>
      <w:r>
        <w:rPr>
          <w:rFonts w:ascii="Times New Roman;serif" w:hAnsi="Times New Roman;serif"/>
          <w:b w:val="false"/>
          <w:color w:val="000000"/>
          <w:sz w:val="20"/>
        </w:rPr>
        <w:t>in all of these markets. This ability to grow horizontally and vertically within this broad market provides a number of vectors for growth, evidenced by our recent significant design wins and bookings in our record backlog. We are well positioned on a number of significant and enduring defense programs, with a diverse portfolio of contracts with blue-chip customers, a large installed base, and the sole source for many unique capabilities. In some cases, we are a directed source to the primes by the U.S. government, reflecting the differentiation of our processing platform.</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market opportunity is defined by the growing demand for domestically designed, sourced and manufactured electronics for critical aerospace, defense and intelligence applications. Our primary market positioning is centered on making commercially available technologies profoundly more accessible to the aerospace and defense sector, specifically as it relates to C4I systems, sensors and EW; and commercial markets, which include aerospace communications and other computing applications. We believe we are well-positioned in growing sustainable market segments of the aerospace and defense sector that rely on advanced technologies to improve warfighter capability and provide enhanced force protection capabilities. The acquisitions of the carve-out business from Microsemi Corporation, Delta Microwave LLC, Syntonic Microwave LLC, Pentek Technologies LLC, and Atlanta Micro, Inc., further improved our ability to compete successfully in these market segments by allowing us to offer an even more comprehensive set of closely related capabilities. The CES Creative Electronic Systems, S.A., Richland Technologies, LLC, GECO Avionics LLC, American Panel Corporation, Physical Optics Corporation, and Avalex Technologies LLC acquisitions provided us new capabilities that substantially expanded our addressable market into defense platform management, mission computing and commercial aerospace markets that are aligned to our existing market focus. The additions of Themis and Germane provided us with new capabilities and positioned us with a significant footprint within the rugged server business. Our organic investments as well as the acquisitions of LIT, the Microsemi Carve-Out Business, Athena, and Star Lab added to our portfolio of embedded security products that can be leveraged across our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believe there are a number of evolving trends that are reshaping our target markets and accordingly provide us with attractive growth opportunities. These trends include:</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 xml:space="preserve">The aerospace and defense electronics market is expected to grow in 2025 and beyond. </w:t>
      </w:r>
      <w:r>
        <w:rPr>
          <w:rFonts w:ascii="Times New Roman;serif" w:hAnsi="Times New Roman;serif"/>
          <w:b w:val="false"/>
          <w:color w:val="000000"/>
          <w:sz w:val="20"/>
        </w:rPr>
        <w:t>According to Renaissance Strategic Advisors (“RSA”), as of May 2025, the global aerospace and defense electronics market is estimated to be $157 billion in 2025, growing to $197 billion by 2029. Within this global market, RSA estimates that the total Tier 2 defense electronics market, which Mercury participates in, was approximately $51 billion in 2025, and will grow to $66 billion in 2029. The aerospace and defense electronics marketplace consists of two primary subsegments: (i) C4I and (ii) sensor and effector mission systems. C4I encompasses platform and mission management, which include avionics and vetronics, C2I, which includes command and control and intelligence, and dedicated communications processing. Sensor and effector mission systems are primarily different types of sensor modalities such as EW, radar, EO/IR and acoustics as well as weapons systems such as missiles and munitions. Within the global Tier 2 C4I market in which we participate, RSA estimated the market for 2025 to be $7.9 billion for platform and mission management, $10.4 billion for C2I and $10.9 billion for dedicated communications. RSA estimates the compound annual growth rate (“CAGR”) from 2025-2029 for these markets to be 6.6% for platform and mission management, 6.1% for C2I and 7.0% for dedicated communications. Within the global Tier 2 sensor and effector mission systems market in which we participate, RSA estimated the market for 2025 to be $6.5 billion for EW, $7.0 billion for radar, $2.9 billion for EO/IR, $1.5 billion for acoustics and $4.1 billion for weapons systems. RSA estimates the 2025-2029 CAGR for these markets to be 6.2% for EW, 6.9% for radar, 6.0% for EO/IR, 7.0% for acoustics and 6.6% for weapons systems. Within the context of the overall U.S. defense budget and spending for defense electronics specifically, we believe the C4ISR, EW, guided missiles and precision munitions and ballistic missile defense market segments have a high priority for future DoD spending. We continue to build on our strengths in the design and development of performance optimized electronic subsystems for these markets, and often team with multiple defense prime contractors as they bid for projects, thereby increasing our chance of a successful outcome. We expect to return to our above industry-average growth.</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The rapidly expanding demand for tactical ISR is leading to significant growth in sensor data being generated, leading to even greater demand for the capability of our products to securely store and process data onboard platforms</w:t>
      </w:r>
      <w:r>
        <w:rPr>
          <w:rFonts w:ascii="Times New Roman;serif" w:hAnsi="Times New Roman;serif"/>
          <w:b w:val="false"/>
          <w:color w:val="000000"/>
          <w:sz w:val="20"/>
        </w:rPr>
        <w:t xml:space="preser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increase in the prevalence and resolution of ISR is generating significant growth in the associated data that needs to be stored and turned into information for the warfighter in a timely manner. In addition, several factors are driving the defense and intelligence industries to demand greater capability to collect, store and process data onboard the aircraft, UAVs, ships and other vehicles, which we refer to collectively as platforms. These factors include the limited communications bandwidth of existing platforms, the need for platforms that can operate more autonomously and possibly in denied communications environments, the need for platforms with increased persistence to enable them to remain in or fly above the battlefield for extended periods and the need for greater onboard processing capabilities. In addition, the advent of sophisticated AI algorithms is beginning to revolutionize the ability of sensor processing systems to intelligently and efficiently process and act upon these large data sets. Standard computing architectures and computing platforms currently do not offer the level of performance needed to optimize existing AI algorithms, creating an additional opportunity for advanced processing capabilities onboard the platform.</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 xml:space="preserve">Russia’s invasion of Ukraine, rising tensions in the Asia-Pacific and continued threats from rogue states and violent extremists are contributing to the most challenging global threat environment since the Cold War. </w:t>
      </w:r>
      <w:r>
        <w:rPr>
          <w:rFonts w:ascii="Times New Roman;serif" w:hAnsi="Times New Roman;serif"/>
          <w:b w:val="false"/>
          <w:color w:val="000000"/>
          <w:sz w:val="20"/>
        </w:rPr>
        <w:t>This will likely result in a sea change in defense spending domestically and internationally. Our advisors estimate that U.S. growth, combined with increases in NATO defense budgets, could drive up to $1.5 trillion of additional spending over the next decade. We believe that this could lead to higher bookings for Mercury in the electronic systems associated with missiles, munitions and missile defense systems, unmanned systems, fixed wing and rotorcraft, ground vehicles and EW.</w:t>
      </w:r>
      <w:r>
        <w:rPr>
          <w:color w:val="000000"/>
        </w:rPr>
        <w:t xml:space="preserve"> </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 xml:space="preserve">A greater percentage of the value associated with future defense platforms will be driven by electronic systems content, and upgrades to existing platforms will focus on sensors, signal processing, sensor algorithms, multi-intelligence fusion and exploitation and computing and communications capability – all areas where Mercury participates. </w:t>
      </w:r>
      <w:r>
        <w:rPr>
          <w:rFonts w:ascii="Times New Roman;serif" w:hAnsi="Times New Roman;serif"/>
          <w:b w:val="false"/>
          <w:color w:val="000000"/>
          <w:sz w:val="20"/>
        </w:rPr>
        <w:t>These trends remain favorable in our view and the demand environment is improving due to urgent needs for warfighting capability at a more rapid pace than traditional defense prime contractors can easily react to, as demonstrated by our history of design wins. We believe that our addressable market continues to increase, driven in large part by our strategic move into mission systems and potential to deliver innovative processing solutions at chip scale, and that primes will increasingly seek out our high-performance, cost-effective open architecture products.</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Defense procurement reform is causing the defense prime contractors to outsource more work to commercial companies and we believe that prime contractor outsourcing is our largest secular growth opportunity</w:t>
      </w:r>
      <w:r>
        <w:rPr>
          <w:rFonts w:ascii="Times New Roman;serif" w:hAnsi="Times New Roman;serif"/>
          <w:b w:val="false"/>
          <w:color w:val="000000"/>
          <w:sz w:val="20"/>
        </w:rPr>
        <w:t>. RSA estimates that in 2025 the U.S. defense Tier 2 embedded computing and RF market addressable by suppliers such as Mercury was approximately $25 billion. RSA estimates that the U.S. defense prime contractors currently outsource only a small percentage of their work. The U.S. government is intensely focused on making systems more affordable and shortening their development time. In addition, the U.S. government is challenging defense prime contractors to leverage commercial technology wherever possible. This trend, along with a scarcity of technical and engineering talent in the market, is causing defense prime contractors to outsource to companies like Mercury, which we believe is our largest secular growth opportunity. As a merchant supplier of commercial technologies to the defense industry, we believe our products and subsystem solutions are often more affordable than solutions with the same functionality developed by a defense prime contractor. In addition, we believe our size, scale and stability in addition to the investments we have made in our domestic manufacturing capabilities and infrastructure, make us a more reliable and attractive outsourcing partner for our customers relative to smaller sub-scale providers. These factors are providing incentives for defense prime contractors to outsource more work to subcontractors with significant expertise and cost-effective technology capabilities and solutions, and we have transformed our business model over the last several years to address these long-term outsourcing trends and other needs.</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DoD security and program protection requirements are creating new opportunities for domestic sourcing and our advanced secure processing capabilities</w:t>
      </w:r>
      <w:r>
        <w:rPr>
          <w:rFonts w:ascii="Times New Roman;serif" w:hAnsi="Times New Roman;serif"/>
          <w:b w:val="false"/>
          <w:color w:val="000000"/>
          <w:sz w:val="20"/>
        </w:rPr>
        <w:t>. The U.S. government is focused on ensuring that the U.S. military protects its defense electronic systems and the information held within them from nefarious activities such as tampering, reverse engineering and other forms of advanced attacks, including cyber. The requirement to add security comes at a time when the commercial technology world continues to offshore more of the design, development, manufacturing and support of such capabilities, making it more difficult to protect against embedded vulnerabilities, tampering, reverse engineering and other undesired activities. The DoD has a mandate to ensure both the provenance and integrity of the technology and its associated supply chain. These factors have created a unique opportunity for us to expand beyond sensor processing into the provision of technologies ranging from advanced secure processing subsystems to miniaturized custom microelectronics devices and capabilities for other onboard critical computing applications designed, developed, manufactured and supported in the U.S.A. In addition, advanced systems sold to foreign military buyers also require protection so that the technologies, techniques and data associated with them do not proliferate, which further enhances our market opportunity.</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Mercury is well-positioned to help address the need for DoD to access the latest commercial silicon, combined with the desire to ensure a trusted domestic supply of silicon technologies</w:t>
      </w:r>
      <w:r>
        <w:rPr>
          <w:rFonts w:ascii="Times New Roman;serif" w:hAnsi="Times New Roman;serif"/>
          <w:b w:val="false"/>
          <w:color w:val="000000"/>
          <w:sz w:val="20"/>
        </w:rPr>
        <w:t xml:space="preserve">. In May 2023, DoD’s National Defense Science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and Technology Strategy listed microelectronics among its critical technology areas for investment. DoD’s fiscal year 23 budget requested $3.3 billion to fund microelectronics research and development initiatives, a historically large increase in funding. DoD's FY24 budget requested $2.6 billion to fund microelectronic initiatives, and the fiscal year 25 President's Budget request includes $2.5 billion to fund microelectronics initiatives. We believe Mercury is the leading provider of commercially developed silicon purpose-built for the specific requirements of aerospace and defense customers. This capability began with our 2016 acquisition of the Microsemi Carve-Out Business, which included capabilities in trusted and secure microelectronics. Since the acquisition, we have made additional investments in security and advanced packaging. This initiative is specifically intended to bridge DoD technologies from monolithic ASIC designs, which are purpose-built for DoD but are deployed on legacy silicon designs, to heterogeneous “chiplet” architectures, which leverage best-of-breed silicon from commercial providers and packages the silicon for defense-specific applications, including the ability to embed security into the device itself.</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We have invested in advanced, domestic design and manufacturing capabilities. </w:t>
      </w:r>
      <w:r>
        <w:rPr>
          <w:rFonts w:ascii="Times New Roman;serif" w:hAnsi="Times New Roman;serif"/>
          <w:b w:val="false"/>
          <w:color w:val="000000"/>
          <w:sz w:val="20"/>
        </w:rPr>
        <w:t xml:space="preserve">We have prioritized investments to build our internal capabilities and capacity for defense electronics design and manufacturing in the U.S. These investments include the consolidation of a number of sub-scale microelectronics manufacturing facilities into our modern advanced microelectronics centers (“AMCs”) as well as the establishment of our operations facility in Phoenix, Arizona. In addition to the consolidation of facilities into scalable engineering and manufacturing centers of excellence, we have made the necessary investments to outfit these facilities with modern, scalable and redundant tools and equipment to promote quality, efficiency, throughput and redundancy. In addition, we invested in our information technology (“IT”) infrastructure and business systems to meet Defense Federal Acquisition Regulation Supplement (“DFARS”) requirements for cybersecurity. These investments taken together are intended to demonstrate our commitment to meeting DoD expectations for a trusted and secure defense industrial base. Our AMCs in Hudson, New Hampshire, West Caldwell, New Jersey, Oxnard, California, Huntsville, Alabama, Phoenix, Arizona and Torrance, California are strategically located near key customers and are purpose-built for the design, build and test of RF components and subsystems in support of a variety of key customer programs. Our Phoenix facility is built around scalable, repeatable, secure, affordable and predictable manufacturing. Phoenix is a IPC1791 certified secure trusted site, certified to AS9100 quality standards and it utilizes Lean Six Sigma methodologies throughout manufacturing. The facility is designed for efficient manufacturing, enabling our customers to access the best proven technology and high performing, secure processing solutions. This allows for the most repeatable product performance, while optimizing affordability and production responsiveness. </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 xml:space="preserve">Long-Standing Industry Relationships. </w:t>
      </w:r>
      <w:r>
        <w:rPr>
          <w:rFonts w:ascii="Times New Roman;serif" w:hAnsi="Times New Roman;serif"/>
          <w:b w:val="false"/>
          <w:color w:val="000000"/>
          <w:sz w:val="20"/>
        </w:rPr>
        <w:t>We have established long-standing relationships with defense prime contractors, the U.S. government and other key organizations in the defense industry over our 30 years in the defense electronics industry. Our top customers include Airbus, BAE Systems, Boeing, General Atomics, General Dynamics, L3Harris Technologies, Leonardo, Lockheed Martin Corporation, Northrop Grumman Corporation, RTX Corporation and the U.S. Navy. Over this period, we have become recognized for our ability to develop new technologies and meet stringent program requirements. We believe we are well-positioned to maintain these high-level customer engagements and enhance them through the additional relationships that our recently acquired businesses have with many of the same customers.</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Operational Execution Experience</w:t>
      </w:r>
      <w:r>
        <w:rPr>
          <w:rFonts w:ascii="Times New Roman;serif" w:hAnsi="Times New Roman;serif"/>
          <w:b w:val="false"/>
          <w:color w:val="000000"/>
          <w:sz w:val="20"/>
        </w:rPr>
        <w:t>. The members of our leadership team possess extensive expertise within the aerospace, defense, and technology industries. Their collective history of building management systems and processes has consistently proven to successfully scale and grow a business to enhance overall returns. They also bring experience in effectively implementing operational transformations that deliver strong results and drive long-term value creation. Our leadership team is focused on operational execution, including setting clear priorities, developing the appropriate processes and systems, and delivering results. We are focused on four priorities to unlock capacity to create value and reinvest for growth. They include: performance excellence, building a thriving growth engine, expanding margins, and driving cash release. Our ability to make progress in each of these areas is predicated upon having the highest performing team in our industry, which is the thrust of several significant workforce development initiatives. We are confident that we have assembled the necessary expertise to continue to grow and scale our business.</w:t>
      </w:r>
    </w:p>
    <w:p>
      <w:pPr>
        <w:pStyle w:val="TextBody"/>
        <w:bidi w:val="0"/>
        <w:spacing w:lineRule="auto" w:line="288" w:before="100" w:after="283"/>
        <w:ind w:left="0" w:right="0" w:hanging="90"/>
        <w:jc w:val="both"/>
        <w:rPr/>
      </w:pPr>
      <w:r>
        <w:rPr>
          <w:color w:val="000000"/>
        </w:rPr>
        <w:t>•</w:t>
      </w:r>
      <w:r>
        <w:rPr>
          <w:rFonts w:ascii="Times New Roman;serif" w:hAnsi="Times New Roman;serif"/>
          <w:b w:val="false"/>
          <w:i/>
          <w:color w:val="000000"/>
          <w:sz w:val="20"/>
        </w:rPr>
        <w:t>Proven M&amp;A Integration Capability. </w:t>
      </w:r>
      <w:r>
        <w:rPr>
          <w:rFonts w:ascii="Times New Roman;serif" w:hAnsi="Times New Roman;serif"/>
          <w:b w:val="false"/>
          <w:color w:val="000000"/>
          <w:sz w:val="20"/>
        </w:rPr>
        <w:t>We have developed the internal processes and capability to integrate acquired businesses to deliver value through revenue and cost synergies. Overseen by our operations organization, we leverage our common cultures and values as well as common processes, business systems, tools, channels and manufacturing infrastructure to accelerate growth and improve profitability in our acquired businesses.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marketplace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customer’s product, where the customer evaluates alternative technologies and design approaches. We work with defense prime contractors as well as directly with the DoD. We help drive subsystem development and deployment in both classified and unclassified environments.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rapid, innovative engineering in both hardware and software products, subsystem design expertise, advanced packaging capability to deliver the most optimized SWaP solution possible, our ability to respond rapidly to varied customer requirements and a track record of successfully supporting many high-profile programs in the defense and aerospace markets. There are competitors in the different market segments and application types in which we participate. Some of these competitors are larger and have greater resources than us. Some of these competitors compete against us at purely a component or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longstanding subsystem expertise to provide this value to our customers.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Research and Product Development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R&amp;D efforts are focused on developing new products and subsystems as well as enhancing existing hardware and software products in mission, signal and image processing. Our R&amp;D goal is to fully exploit and maintain our technological lead in the high-performance, real-time sensor processing industry and in mission computing, microelectronics, platform management and other safety-critical applications. Total expenditures for research and development amounted to $67.6 million, $101.3 million and $108.8 million in fiscal years 2025, 2024 and 2023, respectively. As of June 27, 2025, we had 579 employees, including hardware and software architects and design engineers, primarily engaged in engineering,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Manufacturing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majority of our products and solutions are produced in AS9100 quality system-certified facilities. The current scope of delivered hardware products includes commercial and industrial class printed circuit board assemblies (modules), complex chassis subsystems, rugged display systems and servers and RF and microwave components and subsystems.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Phoenix, Arizona facility manufactures our custom microelectronics products in an AS9100 quality system-certified facility. Our Phoenix facility is also an IPC1791 certified and DMEA certified trusted manufacturing facility, primarily focused on advanced secure system-on-chip design, assembly, packaging and test. Our Cypress, California, West Lafayette, Indiana, and Huntsville, Alabama facilities are AS9100 quality systems-certified facilities as well. Our Fremont, California and Alpharetta, Georgia facilities are ISO 9001:2015 quality systems-certified. Our Hudson, New Hampshire and Chantilly, Virginia locations are IPC1791 and AS9100 quality systems-certified facilities. Our Andover, Massachusetts and Hudson, New Hampshire facilities design and assemble our processing products and are AS9100 quality systems-certified facilities. Our Andover, Massachusetts facility is also a DMEA-certified trusted design facility and is primarily focused on advanced security features for the processing product line. Our Silchester, England facility provides engineering, development and integration services and is AS9100 quality systems-certified.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rely on both vertical integration and subcontracting to contract manufacturers to meet our manufacturing needs. Our Phoenix facility has the manufacturing capabilities to complete the assembly and testing for certain of our embedded multi-computing products. We subcontract as needed a portion of the assembly and testing for our other embedded multi-computing products to contract manufacturers in the U.S. to build to our specifications. Our printed circuit board assemblies and chassis subsystems’ manufacturing operations also consist of materials planning and procurement, final assembly and test and logistics (inventory and traffic management). Our vertically integrated subsystem product solutions rely on strong relationships with strategic suppliers to ensure on-time delivery and high quality products. We manage supplier performance and capability through quality audits and stringent source, incoming and/or first article inspection processes. We have a comprehensive quality and process control plan for each of our products, which include a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advanced microelectronics center in Phoenix, Arizona is built around scalable, repeatable, secure, affordable and predictable manufacturing. The high mix, low volume and high complexity/density nature of our products require speed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seamless interaction with all internal functions (as opposed to with an external contract manufacturer) which is a key value proposition of the Phoenix operations facility. Phoenix is also designed for efficient showcasing to customers who at any point wish to access the best proven technology and high performing, secure electronics and processing manufacturing solutions within a broader product company such as Mercury. Proximity and interaction with our internal engineering organization is a significant benefit. This allows for the most repeatable product performance, while optimizing affordability and production responsiveness. The Phoenix AMC also provides manufacturing and assembly for SWaP-optimized multi-chip modules and system-in-package devices. We combine surface-mount, flip chip, die attach, wire bond and rugged 3D packaging on the same devices to provide a swap-optimized solution for our customers.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Hudson, New Hampshire, West Caldwell, New Jersey and Oxnard, California facilities are specifically aimed at providing scalable manufacturing within our critical businesses. We leverage best practices in design, development, manufacturing and materials handling at these production and subsystems integration facilities. These facilities include the design, build and test of both RF and microwave components and subsystems in support of a variety of key customer programs. Our Alpharetta, Georgia facility offers active matrix liquid crystal display systems which enhances the highly sophisticated human/ machine interface. Our facility in Torrance, California is an AS9100 and AS9110C facility that offers Avionics Safety-Certifiable subsystems. Our facility in Upper Saddle River, New Jersey is ISO 9001:2015 certified and offers digital signal processing products. Our facility in Gulf Breeze, Florida is AS9100 certified and offers rugged avionics and electronics. Our facility in Norcross, Georgia is AS9100 certified and offers RF and microwave products.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generally use standard parts and components for our products, certain components, including custom designed Application-Specific Integrated Circuits ("ASICs"), static random access memory, FPGAs, microprocessors and other third party chassis peripherals (single board computers, power supplies, blowers, etc.), are currently available only from a single source or from limited sources.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also design, develop and manufacture digital radio frequency memory units for a variety of modern electronic warfare applications, as well as radar environment simulation and test systems for defense and intelligence applications. We develop high performance signals intelligence payloads and EO/IR technologies for small UAV platforms as well as powerful onboard UAV processor systems for real-time wide area motion imagery.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Intellectual Property and Proprietary Rights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hold a broad collection of intellectual property rights to protect our proprietary technologies and our brands. These include patents, designs, copyrights, trademarks and trade secrets in the U.S. and various foreign countries. Although we believe the ownership of such intellectual property rights is an important factor in differentiating our business and that our success depends in part on such ownership, we primarily rely on the innovation skills and technical expertise of our employees.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regularly file patent and trademark applications, including payment of related maintenance fees, to protect innovations and brands arising from our research and development. We also rely on a combination of trade secret, patent, copyright, and trademark laws, as well as contractual agreements, to safeguard our proprietary rights in technologies and in our products. In seeking to limit access to sensitive information to the greatest extent practicable, we routinely enter into confidentiality agreements and assignment of invention agreements with each of our employees and consultants, and execute nondisclosure agreements with our customers, suppliers, and vendors.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licensed intellectual property rights in the past and expect that we may license such rights in the future to certain other parties. Some of our products may include intellectual property owned by third parties. It may be necessary in the future to review or renew such licenses to various aspects of our products and services.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Over time, we have accumulated a significant portfolio of issued patents and registered trademarks, including other intellectual property rights. No single intellectual property right is solely responsible for protecting our products, processes and services. We believe our policies and safeguard measures to protect our intellectual property are sufficient relative to the use and lives of our products and services.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2025, we had a backlog of orders aggregating approximately $1.4 billion, of which $807.8 million is expected to be recognized as revenue within the next twelve months. As of June 28, 2024, backlog was approximately $1.3 billion. Our backlog is comprised of accepted purchase orders for which a majority are fully funded.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Mercury, our people are at the center of everything we do in driving Innovation that Matters®. We believe that our success depends on our ability to foster a company-wide culture that values a broad range of solutions to problems, a wide array of skills and experiences, and multiple perspectives. We believe that the workforce required to grow our business and deliver creative solutions must be rich in diverse thought, experience, and culture, and are committed to providing an environment that respects the varied backgrounds and viewpoints of our employees. Our initiatives focus on building and maintaining talent that will create cohesive and collaborative teams that drive innovation. Our Board of Directors provides oversight of our people practices, including regularly reviewing workforce metrics such as those described below.</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Employee Overview:</w:t>
      </w:r>
      <w:r>
        <w:rPr>
          <w:color w:val="000000"/>
        </w:rPr>
        <w:t xml:space="preserve"> </w:t>
      </w:r>
      <w:r>
        <w:rPr>
          <w:rFonts w:ascii="Times New Roman;serif" w:hAnsi="Times New Roman;serif"/>
          <w:b w:val="false"/>
          <w:color w:val="000000"/>
          <w:sz w:val="20"/>
        </w:rPr>
        <w:t>As of June 27, 2025, we employed 2,162 people excluding contractors around the globe, including 579 in research and development, 112 in sales and marketing, 1,180 in manufacturing and customer support and 291 in general and administrative functions. Our primary operations are in the U.S. with 2,061 employees and we operate offices in 12 states. Outside the U.S., we had 101 employees, and operate from locations in Spain, Switzerland, and the United Kingdom. No employees are covered by any collective bargaining or similar agreements. We also use contractors on an as-needed basis.</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Culture and Employee Engagement:</w:t>
      </w:r>
      <w:r>
        <w:rPr>
          <w:color w:val="000000"/>
        </w:rPr>
        <w:t xml:space="preserve"> </w:t>
      </w:r>
      <w:r>
        <w:rPr>
          <w:rFonts w:ascii="Times New Roman;serif" w:hAnsi="Times New Roman;serif"/>
          <w:b w:val="false"/>
          <w:color w:val="000000"/>
          <w:sz w:val="20"/>
        </w:rPr>
        <w:t xml:space="preserve">We believe our workplace culture drives engagement that turns ideas into action, delivering trusted and secure solutions at the speed of innovation. We regularly seek employee input through engagement surveys, the results of which drive meaningful and timely action, as appropriate, from our leadership team and people leaders across the Company. Participation in our most recent employee engagement survey in April 2025 remained strong at 75%. Our investment in our employees extends to our workplaces. For fiscal 2025, we invested over $1.8 million to upgrade our locations to world-class facilities. We also encourage employees to give back to our communities. Mercury sponsors and participates in a number of philanthropic events in our communities, such as Run to Home Base, an annual event that funds clinical care and support for veterans and their families who are impacted by the invisible wounds of war. </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 xml:space="preserve">Training and Development: </w:t>
      </w:r>
      <w:r>
        <w:rPr>
          <w:rFonts w:ascii="Times New Roman;serif" w:hAnsi="Times New Roman;serif"/>
          <w:b w:val="false"/>
          <w:color w:val="000000"/>
          <w:sz w:val="20"/>
        </w:rPr>
        <w:t>Life-long learning is encouraged at Mercury through our offering of LinkedIn Learning, tuition reimbursement and other employee development opportunities. We are deeply invested in building the next generation of engineers and scientists with our internship and co-op programs. We offer a two-year engineering rotational program to recent graduates in electrical, firmware, software, RF and systems engineering disciplines. During the program, employees gain insight and experience rotating through multiple engineering disciplines and upon program completion are matched with a position. During fiscal 2025, we have also invested $1.7 million in formal leadership programs to further develop our leaders, at various levels: leadership cohorts, mentor programs; team excellence discussions, training programs for new managers and regular engagement with our executive leadership team.</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 xml:space="preserve">Pay and Benefits: </w:t>
      </w:r>
      <w:r>
        <w:rPr>
          <w:rFonts w:ascii="Times New Roman;serif" w:hAnsi="Times New Roman;serif"/>
          <w:b w:val="false"/>
          <w:color w:val="000000"/>
          <w:sz w:val="20"/>
        </w:rPr>
        <w:t>We seek competitiveness and fairness in total compensation with reference to external pay data and internal equity. We also offer a variety of well-being programs to support our employees and their families with healthy living. These programs include paid time off, paid parental leave, health insurance coverage, voluntary benefits (including pet insurance and caregiver support), company contributions to retirement savings and employee assistance and work-life programs. In addition, we offer employees less traditional benefits to support employee well-being such as access to fitness and meditation apps, as well as an online platform through which employees participate in healthy living challenges and earn financial rewards.</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 xml:space="preserve">Environmental, Health and Safety: </w:t>
      </w:r>
      <w:r>
        <w:rPr>
          <w:rFonts w:ascii="Times New Roman;serif" w:hAnsi="Times New Roman;serif"/>
          <w:b w:val="false"/>
          <w:color w:val="000000"/>
          <w:sz w:val="20"/>
        </w:rPr>
        <w:t>On our website, we disclose environmental stewardship, quality and safety information, including OSHA injury data. We received an Environment, Social, and Governance ("ESG") score of AAA on the Morgan Stanley Capital International ("MSCI") ESG Rating scale during 2025, placing us in the top 5% of their ratings group for aerospace and defense.</w:t>
      </w:r>
    </w:p>
    <w:p>
      <w:pPr>
        <w:pStyle w:val="TextBody"/>
        <w:bidi w:val="0"/>
        <w:spacing w:lineRule="auto" w:line="288" w:before="100" w:after="283"/>
        <w:ind w:left="0" w:right="0" w:firstLine="495"/>
        <w:jc w:val="both"/>
        <w:rPr/>
      </w:pPr>
      <w:r>
        <w:rPr>
          <w:color w:val="000000"/>
        </w:rPr>
        <w:t>•</w:t>
      </w:r>
      <w:r>
        <w:rPr>
          <w:rFonts w:ascii="Times New Roman;serif" w:hAnsi="Times New Roman;serif"/>
          <w:b/>
          <w:color w:val="000000"/>
          <w:sz w:val="20"/>
        </w:rPr>
        <w:t xml:space="preserve">Diversity and Employee Initiatives: </w:t>
      </w:r>
      <w:r>
        <w:rPr>
          <w:rFonts w:ascii="Times New Roman;serif" w:hAnsi="Times New Roman;serif"/>
          <w:b w:val="false"/>
          <w:color w:val="000000"/>
          <w:sz w:val="20"/>
        </w:rPr>
        <w:t xml:space="preserve">Development of a broad talent pipeline is a business imperative at Mercury and critical to our ability to drive innovation and improve long-term results. We have established relationships with job networks and educational institutions to proactively attract a diverse pool of talent. Our employees are afforded opportunities to deliver creative solutions that are rich in thought, experience, and culture within Mercury and our industry. We also regularly conduct pay equity assessments to help ensure the fairness of our pay practices and make adjustments as needed.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RTX Corporation comprised 13%, 10%, and 14% of our revenues in each of the fiscal years 2025, 2024 and 2023, respectively. Lockheed Martin comprised 10%, 11%, and 13% of our revenues in each of the fiscal years 2025, 2024 and 2023, respectively. The United States Navy comprised 10% of our revenues in fiscal 2025, and accounted for less than 10% of our revenues in fiscal years 2024 and 2023. L3Harris accounted for less than 10% of our revenues in fiscal 2025, 12% of our revenues in fiscal 2024, and less than 10% of our revenues in fiscal 2023. Northrop Grumman accounted for less than 10%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revenues in fiscal 2025 and fiscal 2024, and comprised 11% in fiscal year 2023. While sales to each of these customers may comprise 10% or more of our annual revenue, the sales to these customers are spread across multiple programs and platforms. For the fiscal years ended 2025, 2024 and 2023, we had no single program that represented 10% or more of our revenues.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Corporate Headquarters and Incorporation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Andover, Massachusetts. Mercury Systems, Inc. was incorporated in Massachusetts in 1981.</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Information about Geographic Scope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about revenue we receive within and outside the U.S. can be found in Note P - Operating Segment, Geographic Information and Significant Customers - to the accompanying Consolidated Financial Statements included elsewhere in this Annual Report on Form 10-K.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WEBSITE</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We maintain a website at </w:t>
      </w:r>
      <w:r>
        <w:rPr>
          <w:rFonts w:ascii="Times New Roman;serif" w:hAnsi="Times New Roman;serif"/>
          <w:b w:val="false"/>
          <w:i/>
          <w:color w:val="000000"/>
          <w:sz w:val="20"/>
        </w:rPr>
        <w:t>www.mrcy.com</w:t>
      </w:r>
      <w:r>
        <w:rPr>
          <w:rFonts w:ascii="Times New Roman;serif" w:hAnsi="Times New Roman;serif"/>
          <w:b w:val="false"/>
          <w:color w:val="000000"/>
          <w:sz w:val="20"/>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amended,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100" w:after="283"/>
        <w:ind w:left="0" w:right="0" w:firstLine="495"/>
        <w:jc w:val="both"/>
        <w:rPr/>
      </w:pPr>
      <w:r>
        <w:rPr>
          <w:rFonts w:ascii="Times New Roman;serif" w:hAnsi="Times New Roman;serif"/>
          <w:b w:val="false"/>
          <w:color w:val="000000"/>
          <w:sz w:val="20"/>
        </w:rPr>
        <w:t>Investors and others should note that we announce material financial information using our website (</w:t>
      </w:r>
      <w:r>
        <w:rPr>
          <w:rFonts w:ascii="Times New Roman;serif" w:hAnsi="Times New Roman;serif"/>
          <w:b w:val="false"/>
          <w:color w:val="0000FF"/>
          <w:sz w:val="20"/>
          <w:u w:val="single"/>
        </w:rPr>
        <w:t>www.mrcy.com</w:t>
      </w:r>
      <w:r>
        <w:rPr>
          <w:rFonts w:ascii="Times New Roman;serif" w:hAnsi="Times New Roman;serif"/>
          <w:b w:val="false"/>
          <w:color w:val="000000"/>
          <w:sz w:val="20"/>
        </w:rPr>
        <w:t>), SEC filings, press releases, public conference calls, webcasts, and social media, including X (</w:t>
      </w:r>
      <w:r>
        <w:rPr>
          <w:rFonts w:ascii="Times New Roman;serif" w:hAnsi="Times New Roman;serif"/>
          <w:b w:val="false"/>
          <w:color w:val="0000FF"/>
          <w:sz w:val="20"/>
          <w:u w:val="single"/>
        </w:rPr>
        <w:t>X.com/mrcy</w:t>
      </w:r>
      <w:r>
        <w:rPr>
          <w:rFonts w:ascii="Times New Roman;serif" w:hAnsi="Times New Roman;serif"/>
          <w:b w:val="false"/>
          <w:color w:val="000000"/>
          <w:sz w:val="20"/>
        </w:rPr>
        <w:t>) and LinkedIn (</w:t>
      </w:r>
      <w:r>
        <w:rPr>
          <w:rFonts w:ascii="Times New Roman;serif" w:hAnsi="Times New Roman;serif"/>
          <w:b w:val="false"/>
          <w:color w:val="0000FF"/>
          <w:sz w:val="20"/>
          <w:u w:val="single"/>
        </w:rPr>
        <w:t>www.linkedin.com/company/mercury-systems</w:t>
      </w:r>
      <w:r>
        <w:rPr>
          <w:rFonts w:ascii="Times New Roman;serif" w:hAnsi="Times New Roman;serif"/>
          <w:b w:val="false"/>
          <w:color w:val="000000"/>
          <w:sz w:val="20"/>
        </w:rPr>
        <w:t>). Therefore, we encourage investors and others interested in Mercury to review the information we post on the social media and other communication channels listed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Risks Related to Business Operations and Our Industry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depend heavily on defense electronics programs that incorporate our products and services, which may be only partially funded and are subject to potential termination and reductions and delays in government spending.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Sales of our products and services, primarily as a subcontractor or team member with defense prime contractors, and in some cases directly, to the U.S. government, as well as foreign governments, accounted for approximately 97%, 95% and 98% of our total net revenues in fiscal years 2025, 2024 and 2023,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program in which we are involved could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For fiscal 2026 and beyond, the potential for gridlock in Congress, a continuing budget resolution, budget sequestration, a U.S. government shutdown, or the crowding out of defense funding due to historically high budget deficits or changes in national spending priorities toward non-defense budget items could adversely impact our revenues and increase uncertainty in our business and financial planning.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funding of the defense programs that incorporate our products and services is subject to the overall U.S. government budget and appropriation decisions and processes, which are driven by numerous factors beyond our control, including geo-political, macroeconomic, public health and political conditions. We are unable to predict the likely duration and severity of adverse economic conditions in the United States and other countries, but the longer the duration or the greater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severity, the greater the risks we face in operating our business. The near-term potential for recessionary economic conditions and possible stagflation (persistent high inflation and stagnant economic demand) presents increased risks to our business.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Economic, capital market and political conditions could adversely affect our business, results of operations, and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Global economic conditions, financial markets and geopolitical events have, at times, experienced turmoil which could have material adverse impacts on our financial condition or our ability to achieve targeted results of operations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reduced and delayed demand for our products;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increased risk of order cancellations or delays;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downward pressure on the prices of our products;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supply chain challenges to source raw materials;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greater difficulty in collecting accounts receivable;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risks to our liquidity, including the possibility that we might not have access to our cash and short-term investments or to our line of credit when needed.</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Price inflation for labor and materials could adversely affect our business, results of operations and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considerable price inflation in our costs for labor and materials during recent years, which adversely affected our business, results of operations and financial condition. We may not be able to pass through inflationary cost increases under our existing firm fixed price contracts and we may only be able to recoup a portion of our increased costs under our reimbursement-type contracts. Our ability to raise prices to reflect increased costs may be limited by competitive conditions in the market for our products and services. We continue to work to mitigate such pressures on our business operations as they develop.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The loss of one or more of our largest customers or programs could adversely affect our results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dependent on a small number of customers for a large portion of our revenues. A significant decrease in the sales to or loss of any of our major customers would have a material adverse effect on our business and results of operations. In fiscal 2025, RTX Corporation accounted for 13% of our total net revenues and both Lockheed Martin and U. S. Navy accounted for 10% of our total net revenues. In fiscal 2024, L3Harris accounted for 12% of our total net revenues, Lockheed Martin accounted for 11% of our total net revenues, and RTX Corporation accounted for 10% of our total net revenues. In fiscal 2023, RTX Corporation accounted for 14% of our total net revenues, Lockheed Martin accounted for 13% of our total net revenues, and Northrop Grumman accounted for 11% of our total net revenues.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Going forward, we believe the F-35, F/A-18, KC-46, LTAMDS, SCAR, and THAAD programs could be a large portion of our future revenues in the coming years, and the loss or cancellation of these programs could adversely affect our future results. Further, new programs may yield lower margins than legacy programs, which could result in an overall reduction in gross margins.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Failure to respond to competition or evolving technology could lead to customer loss and missed business opportunities. The emergence of commodity-type substitutes may cause customers to delay purchases or seek alternatives.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markets are highly competitive, with frequent technological advances and evolving industry standards. Competitors may offer lower pricing, superior products or better delivery, reducing demand for our offerings. Operational challenges have impacted our on-time delivery, affecting visibility, design wins, bookings and revenue. Customers may opt for lower-cost alternatives or insource previously outsourced products.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Rapid technological changes could lead to new competitors, resulting in lost customers and programs. Negative perceptions regarding cost or delivery issues may further impact our ability to secure business. Limited engagement with key government-funded laboratories (e.g., DARPA, MIT Lincoln Labs, and MITRE) may hinder our ability to become a design partner for defense prime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products are designed to operate under strict physical constraints and harsh conditions. Historically, these requirements have limited the use of lower-cost commodity systems. However, advancing technology and evolving military requirements may increase the acceptability of such alternatives. The entry of commercial server manufacturers and new competitors into aerospace and defense electronics could reduce demand for our products, negatively impacting revenue and operating results.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Defense customers require frequent technological advancements for military superiority. Historically, many design projects receive funding without actual deployment, and deployed systems favor subcontractors involved in the design phase. To secure future business, we must consistently provide superior technology in a timely and cost-effective manner.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design-in process is lengthy and costly, with no assurance that we will continue meeting customer specifications. Failing to anticipate technological shifts, customer needs or demand fluctuations could negatively impact financial results, including inventory obsolescence. Building inventory ahead of contractual commitments or purchasing end-of-life materials before confirmed customer demand increases this risk.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Product complexity occasionally leads to manufacturing delays. For example, in fiscal year 2024, we halted production for months on multiple secure computing programs due to a root cause analysis, materially affecting financial results and customer confidence. These challenges could recur in the future on other programs.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Competition from existing or new companies could cause us to experience downward pressure on prices, fewer customer orders, reduced margins, the inability to take advantage of new business opportunities and the loss of market share.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compete in highly competitive industries, and our customers generally extend the competitive pressures they face throughout their respective supply chains. Additionally, our markets are facing increasing industry consolidation, resulting in larger competitors who have more market share putting more downward pressure on prices and offering a more robust portfolio of products and services. We are subject to competition based upon product design, performance, pricing, quality, on time delivery and support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Our defense prime contractor customers could decide to pursue one or more of our product development areas as a core competency and insource that technology development and production rather than purchase that capability from us as a supplier. This competition could result in fewer customer orders and a loss of market share.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be unable to obtain critical components from suppliers, which could disrupt or delay our ability to deliver products to our customers.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Several components used in our products are currently obtained from sole-source suppliers. We are dependent on a limited number of key vendors for certain critical components such as FPGAs, ASICS, processors, memory products and specialty glass.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 Carrying increased levels of inventory also increases our potential risk of future inventory obsolescence.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Trade policies could increase the cost of our manufacturing operations, potentially reducing our gross margins and demand for our products.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Trade policies pose a risk to our manufacturing operations, potentially reducing our gross margins and impacting demand for our products. There is uncertainty with respect to trade policies and treaties between the U.S. and other countries. The U.S. has announced broad increases in tariffs on imported components, subject to limited exceptions. Major U.S. trading partners have announced retaliatory tariffs in response and some have negotiated new trade agreements. As a result, we are exposed to increased tariffs with respect to products and components that we import into the U.S. Our gross margins could be reduced, potentially significantly, in the event we are unable to recover tariffs or duties from our customers. Further, although we are required to pay tariffs upon importation of the components, we may not be able to recover these amounts from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until sometime later, if at all, which could materially adversely impact our operating cash flow in a given period. For example, tariff adjustments include a 10% baseline tariff on all imports to the U.S., with higher tariffs on specific goods from a range of countries. Any significant increase in the price of our products due to increased costs may result in a reduction in demand from our customers at such higher prices. The impact of any tariff increases will depend on various factors, including if such increases are ultimately implemented, the timing of implementation, contractual terms and the amount, scope and nature of the tariffs.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Tariffs and other restrictive trade measures may require us to take various actions, including changing suppliers and altering business relationships. Changing our operations in accordance with new or evolving trade restrictions can be expensive, time-consuming, disruptive to our operations and distracting to management. Tariffs and trade restrictions can be announced with little or no advanced notice, and we may not be able to effectively mitigate all adverse impacts from such measures.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effectively manage our relationships with contract manufacturers.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not be able to effectively manage our relationship with contract manufacturers, and the contract manufacturers may not meet future requirements for timely delivery. We rely on contract manufacturers to build hardware sub-assemblies for certain of our products in accordance with our specifications. During the normal course of business, we may provide demand forecasts to contract manufacturers several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 These risks may be enhanced for our International operations as we outsourced our former Swiss manufacturing operations to Cicor Group during fiscal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exposed to risks associated with international operations and markets.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market and sell products in international markets and have sales offices and manufacturing and/or engineering facilities and subsidiaries in Switzerland, Spain and the United Kingdom. Revenues from international operations accounted for 5% of our total net revenues in each fiscal 2025, 2024, and 2023. We also ship directly from our U.S. operations to international customers. There are inherent risks in transacting business internationally,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changes in applicable laws and regulatory requirements;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export and import restrictions, including export controls relating to technology and sanctioned parties;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tariffs and other trade barriers;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less favorable intellectual property laws;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longer payment cycles;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problems in collecting accounts receivable;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adverse economic conditions in foreign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political instability;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fluctuations in currency exchange rates, which may lead to lower operating margins, or may cause us to raise prices which could result in reduced revenues;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expatriation controls;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potential adverse tax consequences.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one or more of these factors will not have a material adverse effect on our future international activities and, consequently, on our business and results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 pension plan (the “Plan”) for Swiss employees, mandated by Swiss law. Since participants of the Plan are entitled to a defined rate of interest on contributions made, the Plan meets the criteria for a defined benefit plan under U.S. GAAP. The Plan, an independent pension fund, is part of a multi-employer plan with unrestricted joint liability for all participating companies and the economic interest in the Plan’s overfunding or underfunding is allocated to each participating company based on an allocation key determined by the Plan. U.S. GAAP requires an employer to recognize the funded status of the defined benefit plan on the balance sheet, which we have presented in other long-term liabilities on our Consolidated Balance Sheets at June 27, 2025. The funded status may vary from year to year due to changes in the fair value of the Plan’s assets and variations on the underlying assumptions in the Plan and we may have to record an increased liability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fluctuations in the value of the Plan’s assets. As of June 27, 2025, we had a liability of $5.3 million in Other non-current liabilities representing the net under-funded status of the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we must comply with the Foreign Corrupt Practices Act, or the FCPA, and the anti-corruption laws of the countries in which we operate. Those laws generally prohibit the giving of anything of value to win business. If we or our intermediaries fail to comply with the requirements of international applicable anti-corruption laws, governmental authorities in the United States or the countries in which we operate could seek to impose civil and criminal penalties, or restrict or limit our ability to do business, which could have a material adverse effect on our business, results of operations, financial condition,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need for continued or increased investment in R&amp;D may increase expenses and reduce our profitability.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is characterized by the need for continued investment in R&amp;D. If we fail to invest sufficiently in R&amp;D, our products could become less attractive to potential customers and our business and financial condition could be materially and adversely affected. As a result of the need to maintain spending levels in this area and the difficulty in reducing costs associated with R&amp;D, our operating results could be materially harmed if our R&amp;D efforts fail to result in new products or if revenues fall below expectations. As a result of our commitment to invest in R&amp;D, spending levels of R&amp;D expenses as a percentage of revenues may fluctuate in the future. In addition, defense prime contractors could increase their requirement for subcontractors, like us, to increase their share in the R&amp;D costs for new programs and design wins.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results of operations are subject to fluctuation from period to period and may not be an accurate indication of future performance.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While our revenues are generated through the sale of products and services across hundreds of programs with no single program contributing more than 10% of our annual revenues, we have experienced fluctuations in operating results due to shifts in timing or quantities across certain of our larger programs. Customers specify delivery date requirements that coincide with their need for our products and services on the programs in which we participate. Because these customers may use our products and services in connection with a variety of defense programs or other projects with different sizes and durations, a customer’s orders for one quarter generally do not indicate a trend for future orders by that customer or on that program. As such,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Results of operations in any period should not be considered indicative of the results to be expected for any future period.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High quarterly book-ship ratios have pressured our inventory and cash flow management at various times,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quarterly results may be subject to fluctuations resulting from other factors,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delays in completion of internal product development projects;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delays in shipping hardware and software or licensing design intellectual property;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delays in acceptance testing by customers;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change in the mix of products sold;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changes in customer or program order patterns;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production delays due to quality problems;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achieve or maintain quality certifications, such as AS9100;</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nonconformity with contractual or other requirements, including the need to respond to corrective action requests;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scale quick reaction capability products due to low product volume;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shortages and increased costs of components;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excess and obsolescence of inventory;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delays due to the implementation of new tariffs or other trade barriers;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product line transitions;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declines in quarterly revenues from previous generations of products following announcement of replacement products containing more advanced technology;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changes in estimates of completion (EAC) on fixed price engagements, which represent a substantial percentage of our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contracts require that our facilities remain certified at the AS9100 or ISO9001 level in order to ship products from the relevant facility. Failure to obtain or maintain the required certification may require a waiver by the customer for shipments to continue until the certification is obtained. There can be no assurance that we will receive any customer waivers if a required certification is lost or delayed.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Another factor contributing to fluctuations in our quarterly results is the fixed nature of expenditures on personnel, facilities, and information technology. Expense levels for these programs are based, in significant part, on expectations of future revenues. If actual quarterly revenues are below management’s expectations, our results of operations could be adversely affected.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Over time revenue recognition is more reliant on estimates than the accounting for our component sales. Changes in estimates of completion ("EACs") on fixed price engagements, which represent a substantial percentage of our business, also requires judgement, including in assessing risks, estimating contract revenue and costs, and predicting future performance. Actual results could differ from those estimates, and changes in estimates in subsequent periods could cause our results of operations to fluctuate.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rely on the significant experience and specialized expertise of our senior management, engineering and operational staff and must retain and attract qualified and highly skilled personnel to grow our business successfully.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performance is substantially dependent on the continued services and performance of our senior management and our highly qualified team of engineers and operational staff, many of whom have numerous years of experience, specialized expertise in our industry and security clearances required for certain defense projects. If we are not successful in hiring and retaining such employees, we may not be able to extend or maintain our engineering and operational expertise and our future product development efforts could be adversely affected. Competition for hiring these employees is intense, especially individuals with specialized skills and security clearances required for our business, and we may be unable to hire and retain enough staff to implement our growth strategy or to perform on our existing commitments. </w:t>
      </w:r>
    </w:p>
    <w:p>
      <w:pPr>
        <w:pStyle w:val="TextBody"/>
        <w:bidi w:val="0"/>
        <w:spacing w:lineRule="auto" w:line="288" w:before="180" w:after="283"/>
        <w:ind w:left="0" w:right="0" w:firstLine="495"/>
        <w:jc w:val="both"/>
        <w:rPr>
          <w:rFonts w:ascii="Times New Roman;serif" w:hAnsi="Times New Roman;serif"/>
          <w:b/>
          <w:color w:val="000000"/>
          <w:sz w:val="20"/>
        </w:rPr>
      </w:pPr>
      <w:r>
        <w:rPr>
          <w:rFonts w:ascii="Times New Roman;serif" w:hAnsi="Times New Roman;serif"/>
          <w:b/>
          <w:color w:val="000000"/>
          <w:sz w:val="20"/>
        </w:rPr>
        <w:t>If we experience a disaster or other business continuity problem, we may not be able to recover successfully, which could cause material financial loss, loss of human capital, regulatory actions, reputational harm, or legal liability.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we experience a local or regional disaster or other business continuity problem, such as an earthquake, terrorist attack, pandemic or other natural or man-made disaster, our continued success will depend, in part, on the availability of our personnel, our facilities and the proper functioning of our network, telecommunication and other business systems and operations. As we grow our operations, the potential for natural or man-made disasters, political, economic, or infrastructure instabilities, or other country- or region-specific business continuity risks increases.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Our insurance coverage, customer indemnifications or other liability protections may be inadequate to cover our significant business risks, which could have a material adverse effect on our financial position.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be subject, in the ordinary course of business, to losses resulting from product liability, cyber-attacks, accidents, natural disasters, and other claims against us, for which we may have no insurance coverage. The policies limits and terms of coverage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M&amp;A and Acquisition Integration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Implementation of our growth strategy may not be successful, which could affect our ability to increase revenues and profits.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growth strategy includes developing new products, adding new customers and programs within our existing markets, and entering new markets both domestically and internationally, developing our manufacturing capabilities, as well as identifying and integrating acquisitions and achieving revenue and cost synergies and economies of scale. Our ability to compete in new markets will depend upon several factors including, among others: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create demand for products in new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respond to changes in our customers’ businesses by updating existing products and introducing, in a timely fashion, new products which meet the needs of our customers;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increase our market visibility and penetration with prime defense contractors, government agencies and government funded laboratories;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quality of our new products;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ability to respond rapidly to technological changes;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increase utilization of our manufacturing capacity as well as our ability to deliver on schedule and on budget;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successfully integrate acquisitions and achieve revenue and cost synergies and economies of scale.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and/or customer support organizations.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Acquisitions may adversely affect our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strategy for growth, we may explore acquisitions or strategic alliances, which ultimately may not be completed or be beneficial to us. While we expect any acquisitions to result in synergies and other financial and operational benefits, we may be unable to realize these synergies or other benefits in the timeframe that we expect or at all. The integration process may be complex, costly and time consuming. Acquisitions may pose risks to our business,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problems and increased costs in connection with the integration of the personnel, business systems, operations, technologies, or products of the acquired businesses;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layering of integration activity due to multiple overlapping acquisitions;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unanticipated issues, expenses, charges, or liabilities related to the acquisitions;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implement our business plan for the combined business or to achieve anticipated increases in revenues and profitability;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diversion of management’s attention from our organic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adverse effects on business relationships with suppliers and customers, including the failure to retain key customers and programs;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acquired assets becoming impaired as a result of technical advancements or worse-than-expected performance by the acquired company;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rationalize supply chain, manufacturing capacity, locations, logistics and operating models to achieve anticipated economies of scale, or disruptions to supply chain, manufacturing, or product design operations during the combination of facilities;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rationalize business, information and communication systems and to expand the IT infrastructure and security protocols throughout the enterprise;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volatility associated with accounting for earn-outs in a given transaction;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entering markets in which we have no, or limited, prior experience;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environmental liabilities at current or previous sites of the acquired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poor compliance and document retention and retrieval programs pre-acquisition at acquired companies, which may lead to liabilities for violations, or impact the business acquired when placed under our compliance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unanticipated changes in applicable laws or regulations;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potential loss of key employees;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impact of any assumed legal proceedings; and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adverse effects on our internal control over financial reporting before the acquiree's complete integration into our control environment.</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any acquisitions or investments we could: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issue stock that would dilute our existing shareholders;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incur debt and assume liabilities;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obtain financing on unfavorable terms, or not be able to obtain financing on any terms at all;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incur amortization expenses related to acquired intangible assets or incur large and immediate write-offs;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incur large expenditures related to office closures of the acquired companies, including costs relating to the termination of employees and facility and leasehold improvement charges resulting from our having to vacate the acquired companies’ premises;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reduce the cash that would otherwise be available to fund operations or for other purposes.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the levels of revenue, earnings, or operating efficiency that we and our prior acquisitions had achieved or might achieve separately. You should not place undue reliance on any anticipated synergies. In addition, our competitors could try to emulate our strategy, leading to greater competition for acquisition targets which could lead to larger competitors if they succeed in emulating our strategy.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incur substantial indebtedness.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On August 13, 2024, we amended our Revolver, permanently decreased borrowing capacity to $900.0 million, with a temporary reduction in credit availability to $750.0 million until we meet a minimum consolidated EBITDA level of $75.0 million excluding (a) adjustments for cost savings, operating expense reductions and synergies, (b) estimate at completion (“EAC”) charges and other non-cash expenses, charges, and losses addbacks and (c) deducts to reverse EAC charges previously added back, in each case for a last twelve-month period. The temporary reduction in credit availability was removed as of the filing of our Q2 compliance certificate, and capacity returned to $900.0 million.</w:t>
      </w:r>
      <w:r>
        <w:rPr>
          <w:color w:val="000000"/>
        </w:rPr>
        <w:t xml:space="preserve"> </w:t>
      </w:r>
      <w:r>
        <w:rPr>
          <w:rFonts w:ascii="Times New Roman;serif" w:hAnsi="Times New Roman;serif"/>
          <w:b w:val="false"/>
          <w:color w:val="000000"/>
          <w:sz w:val="20"/>
        </w:rPr>
        <w:t xml:space="preserve">As of June 27, 2025, we had $591.5 million of outstanding borrowings on the Revolver.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Revolver accrues interest, at our option, at floating rates tied to Secured Overnight Financing Rate ("SOFR") or the prime rate plus an applicable percentage. The applicable percentage is set at SOFR plus 1.25% and is established pursuant to a pricing grid based on our total net leverage ratio. We are exposed to the impact of interest rate changes primarily through our borrowing activities. Subject to the limits contained in the Revolver, we may incur substantial additional debt from time to time to finance working capital, capital expenditures, investments or acquisitions, or for other purposes. If we do so, the risks related to our debt could intensify. Specifically, our debt could have important consequences to our investors, including the following: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making it more difficult for us to satisfy our obligations under our debt instruments, including, without limitation, the Revolver; and if we fail to comply with these requirements, an event of default could result;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limiting our ability to obtain additional financing to fund future working capital, capital expenditures, acquisitions, or other general corporate requirements;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requiring a substantial portion of our cash flows to be dedicated to debt service payments instead of other purposes, thereby reducing the amount of cash flows available for working capital, capital expenditures, acquisitions and other general corporate purposes;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increasing our vulnerability to general adverse economic and industry conditions;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exposing us to the risk of increased interest rates as certain of our borrowings have variable interest rates, which could increase the cost of servicing our financial instruments and could materially reduce our profitability and cash flows;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limiting our flexibility in planning for and reacting to changes in the industry in which we compete;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placing us at a disadvantage compared to other, less leveraged competitors; and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Revolver contains restrictive covenants that may limit our ability to engage in activities that are in our long-term best interest. Our failure to comply with those covenants could result in an event of default which, if not cured or waived, could result in the acceleration of all our debt. And, if we were unable to repay the amounts due and payable, the lenders under the Revolver could proceed against the collateral granted to them to secure that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Increases in interest rates would increase the cost of servicing our financial instruments with exposure to interest rate risk and could materially reduce our profitability and cash flows. Assuming that we had $100.0 million of floating rate debt outstanding, our annual interest expense would change by approximately $1.0 million for each 100 basis point increase in interest rates. We may also incur costs related to interest rate hedges, including the termination of any such hedges. As of June 27, 2025, we had a swap agreement in effect that fixed $300.0 million of the total $591.5 million of outstanding borrowings under the Revolver at a rate of 4.66%. The movement of interest rates would affect the value of such swap agreement.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Limited or negative free cash flow as we experienced during certain prior periods could eventually lead to a challenge in servicing our debt. We are subject to refinancing risk as we expect to need to refinance our debt prior to the expiration of the Revolver.</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a significant amount of goodwill and intangible assets on our consolidated financial statements that are subject to impairment based upon future adverse changes in our business or prospects.</w:t>
      </w:r>
    </w:p>
    <w:p>
      <w:pPr>
        <w:pStyle w:val="TextBody"/>
        <w:bidi w:val="0"/>
        <w:spacing w:lineRule="auto" w:line="288" w:before="10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At June 27, 2025, the carrying values of goodwill and identifiable intangible assets on our balance sheet were $938.1 million and $210.6 million, respectively. We evaluate indefinite lived intangible assets and goodwill for impairment annually in the fourth quarter, or more frequently if events or changes in circumstances indicate that the asset might be impaired.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Indefinite lived intangible assets are impaired and goodwill impairment is indicated when their book value exceeds fair value. 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 The value of goodwill and intangible assets from the allocation of purchase price from our acquisitions will be derived from our business operating plans and is susceptible to an adverse change in demand, input costs or general changes in our business or industry and could require an impairment charge in the future.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Legal, Regulatory and Compliance Matters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face risks and uncertainties associated with defense-related contracts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Whether our contracts are directly with the U.S. government, a foreign government, or one of their respective agencies, or indirectly as a subcontractor or team member, our contracts and subcontracts are subject to special risks. For example:</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only entitle us to recover costs incurred, settlement expenses and profit on work completed prior to termination.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Because we contract to supply goods and services to the U.S. and foreign governments and their prime and subcontractors, we compete for contracts in a competitive bidding process. We may not be awarded the contract if the pricing or product offering is not competitive, either at our level or the prime or subcontractor level. In the event we are awarded a contract, we are subject to protests by losing bidders of contract awards that can result in the reopening of the bidding process and changes in governmental policies or regulations and other political factors. We may be subject to multiple rebid requirements over the life of a defense program to continue to participate in such program, which can result in the loss of the program or significantly reduce our revenue or margin. Requirements for more frequent technology refreshes on defense programs may lead to increased costs and lower long-term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Consolidation among defense industry contractors has resulted in a few large contractors with increased bargaining power relative to us.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customers include U.S. government contractors who must comply with and are affected by laws and regulations relating to the formation, administration and performance of U.S. government contracts. When we contract with the U.S. government, we must comply with these laws and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us and the U.S. government.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sell certain products and services to U.S. and international defense contractors or directly to the U.S. government on a commercial item basis, eliminating the requirement to disclose and certify cost data. To the extent that there are interpretations or changes in the Federal Acquisition Regulations (“FAR”) regarding the qualifications necessary to sell commercial items, there could be a material impact on our business and operating results. For example, there have been legislative proposals to narrow the definition of a “commercial item” (as defined in the FAR) or to require cost and pricing data on commercial items that could limit or adversely impact our ability to contract under commercial item terms. Changes could be accelerated due to changes in our mix of business, in federal regulations, or in the interpretation of federal regulations, which may subject us to increased oversight by the Defense Contract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Agency (“DCAA”) for certain of our products or services. Such changes could also trigger contract coverage for a larger percentage of our contracts under the Cost Accounting Standards (“CAS”), requiring compliance with a defined set of business systems criteria. Failure to comply with applicable CAS requirements could adversely impact our ability to win future CAS-type contracts and subject us to 5% billing withholding on open cost type contracts. We may also need to implement or enhance our processes and information systems to support certified cost and pricing and earned value management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the Department of Defense Cybersecurity Maturity Model Certification (“CMMC”) in connection with our defense work for the U.S. government and defense prime contractors. Inability to meet the qualifications to the CMMC and any amendments may increase our costs or delay the award of contracts if we are unable to certify that we satisfy such cybersecurity requirements at our Company level and into our supply chain. Further, our suppliers in general are not as prepared to comply with CMMC requirements today as we are, and thus we may have to change suppliers or delay production to the extent the application of such requirements materially effects our supply chain.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 government or a defense prime contractor customer could require us to enter into cost reimbursable contracts that could offset our cost efficiency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must comply with security requirements pursuant to 32 CFR Part 117, formerly known as the National Industrial Security Program Operating Manual, or NISPOM, and other U.S. government security protocols when accessing sensitive information. Many of our facilities maintain a facility security clearance and many of our employees maintain a personal security clearance to access sensitive information necessary to the performance of our work on certain U.S. government contracts and subcontracts. Failure to comply with such security requirements may subject us to civil or criminal penalties, loss of access to sensitive information, loss of a U.S. government contract or subcontract, or potentially debarment as a government contractor.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need to invest additional capital to build out higher level security infrastructure at certain of our facilities to capture new design wins on defense programs with higher level security requirements. In addition, we may need to invest in additional secure laboratory space to integrate efficiently subsystem level solutions and maintain quality assurance on current and future programs.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If we are unable to continue to obtain U.S. government authorization regarding the export of our products, or if current or future export laws limit or otherwise restrict our business, we could be prohibited from shipping our products to certain countries, which would harm our ability to generate revenue.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U.S. laws regulating the export of our products and technology. In addition, we are required to obtain a license from the U.S.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government for international sales or domestic sales to foreign persons including transfers of technical data or the provision of technical services. Likewise, our international operations are subject to the export laws of the countries in which they conduct business. Moreover, the export regimes and the governing policies applicable to our business are subject to change. If we cannot obtain required government approvals under applicable regulations in a timely manner or at all, we could be delayed or prevented from selling our products in certain jurisdictions, which could adversely affect our business and financial results.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products are complex, and undetected defects may increase our costs, harm our reputation with customers or lead to costly litigation.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are extremely complex and must operate successfully with complex products of our customers and their other vendors. Our products may contain undetected errors when first introduced or as we introduce product upgrades. The pressures we face to be the first to market new products or functionality and the elapsed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warranty costs and costs to support our service contracts and divert the attention of personnel from our product development efforts. Also, hostile third parties or nation states may try to install malicious code or devices into our products or software. Undetected errors may adversely affect our product’s ease of use and may create customer satisfaction issues. If we are unable to repair these problems in a timely manner, we may experience a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Information Technology and Intellectual Property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We may need to invest in new information technology systems and infrastructure to scale our operations.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need to adopt new information technology systems and infrastructure to scale our business and obtain the synergies from prior acquisitions as well as organic growth. Our information technology and business systems and infrastructure could create product development or production work stoppages, unnecessarily increase our inventory, negatively impact product delivery times and quality and increase our compliance costs. In addition, an inability to maximize the utility and benefit of our current information technology and business tools could impact our ability to meet cost reduction and planned efficiency and operational improvement goals.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suffer ransomware breaches, data breaches, or phishing diversions involving the designs, schematics, or source code for our products or other sensitive information, our business and financial results could be adversely affected.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constant attempts at cyber intrusion as nation-state hackers seek access to technology used in U.S. defense programs and criminal enterprise hackers, which may or may not be affiliated with foreign governments, use ransomware attacks to disable critical infrastructure and extort companies for ransom payments. We are also regularly targeted by spear phishing attacks in which an email directed at a specific individual or department is disguised to appear to be from a trusted source to obtain sensitive information. Like all DoD contractors that process, store, or transmit controlled unclassified information, we must meet minimum security standards or risk losing our DoD contracts. A breach, whether physical, electronic or otherwise, of the systems on which this sensitive data is stored could lead to damage or piracy of our products or to the shutdown of business systems. If we experience a data security breach from an external source or a data exfiltration from an insider threat, we may have a loss in sales or increased costs arising from the restoration or implementation of additional security measures, either of which could adversely affect our business and financial results. Other potential costs could include damage to our reputation, loss of brand value, incident response costs, loss of stock market value, regulatory inquiries, litigation and management distraction. A security breach that involves classified information could subject us to civil or criminal penalties, loss of a government contract, loss of access to classified information, or debarment as a government contractor. Similarly, a breach that involves loss of customer-provided data could subject us to loss of a customer, loss of a program or contract, litigation costs and legal damages and reputational harm. We have experienced cyber intrusions involving the loss of some proprietary data in the past which did not result in material effects on our business or operations, but we cannot assure you that any future cyber intrusion would not be material or that prior intrusions could have more material effects than initially determined. Like other defense contractors, from time to time we have experienced the loss of proprietary data due to employees retaining proprietary information in violation of company policies and applicable regulations, resulting in investigation and remediation expenses as well as the other risks outlined above. While we have deployed protective measures to counter these attacks, there is no assurance that these measures will detect all threats or prevent a cybersecurity attack because of the continuously evolving nature of such attacks.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may be unsuccessful in protecting our intellectual property rights which could result in the loss of a competitive advantage. If we become subject to intellectual property infringement claims, we could incur significant expenses and could be prevented from selling specific products.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ability to compete effectively against other companies in our industry depends, in part, on our ability to protect our current and future proprietary technology under patent, copyright, trademark, trade secret and unfair competition laws. We cannot assure you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been subject to claims that we infringe the intellectual property rights of others and we may become subject to such claims in the future. We cannot assure you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The trading price of our common stock may continue to be volatile, which may adversely affect our business, and investors in our common stock may experience substantial losses.</w:t>
      </w:r>
    </w:p>
    <w:p>
      <w:pPr>
        <w:pStyle w:val="TextBody"/>
        <w:bidi w:val="0"/>
        <w:spacing w:lineRule="auto" w:line="288" w:before="100" w:after="283"/>
        <w:ind w:left="0" w:right="0" w:firstLine="450"/>
        <w:jc w:val="both"/>
        <w:rPr/>
      </w:pPr>
      <w:r>
        <w:rPr>
          <w:rFonts w:ascii="Times New Roman;serif" w:hAnsi="Times New Roman;serif"/>
          <w:b w:val="false"/>
          <w:color w:val="000000"/>
          <w:sz w:val="20"/>
        </w:rPr>
        <w:t xml:space="preserve">Our stock price has been and may continue to be volatile. This volatility may or may not be related to our operating performance. Our operating results, from time to time, may be below the expectations of public market analysts and investors, which could have a material adverse effect on the market price of our common stock. Market rumors or the dissemination of false or misleading information may impact our stock price. When the market price of a stock has been volatile, holders of that stock will sometimes file securities class action litigation against the company that issued the stock. If any shareholders were to file a lawsuit, we could incur substantial costs defending the lawsuit, which could also divert the time and attention of management. During fiscal 2023 and 2024, we experienced significant stock price declines following some of our earnings releases as well as after the announcement that the Board of Directors had concluded its review of strategic alternatives in June 2023, in each case with law firms announcing investigations after the event. </w:t>
      </w:r>
      <w:r>
        <w:rPr>
          <w:rFonts w:ascii="Times New Roman;serif" w:hAnsi="Times New Roman;serif"/>
          <w:b w:val="false"/>
          <w:color w:val="000000"/>
          <w:sz w:val="20"/>
          <w:shd w:fill="FFFFFF" w:val="clear"/>
        </w:rPr>
        <w:t>On December 13, 2023, a securities class action complaint was filed against us in the U.S. District Court for the District of Massachusetts. The complaint alleged that our public disclosures in SEC filings and on earnings calls were false and/or misleading</w:t>
      </w:r>
      <w:r>
        <w:rPr>
          <w:rFonts w:ascii="Times New Roman;serif" w:hAnsi="Times New Roman;serif"/>
          <w:b w:val="false"/>
          <w:color w:val="000000"/>
          <w:sz w:val="20"/>
        </w:rPr>
        <w:t xml:space="preserve">. We are currently defending that securities litigation.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have never paid cash dividends on our common stock and we do not anticipate paying any dividends in the foreseeable future.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declared or paid cash dividends on any of our classes of capital stock to date and we currently intend to retain our future earnings, if any, to fund the development and growth of our business, to reduce our level of debt, and for future mergers and acquisitions. As a result, capital appreciation, if any, of our common stock will be the sole source of gain for the foreseeable future.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larger credit facility. The sale of additional equity securities or securities convertible into our common shares could result in additional dilution to our stockholders. The incurrence of additional indebtedness would result in increased debt service obligations and could result in operating and financing covenants that would restrict our operations. We cannot assure you that financing will be available in amounts or on terms acceptable to us, if at all. If we fail to raise additional funds, we may need to sell debt or additional equity securities or to reduce our growth to a level that can be supported by our cash flow.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in our organizational documents and Massachusetts law and other actions we have taken could make it more difficult for a third party to acquire us.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Provisions of our articles of organization and by-laws could have the effect of discouraging a third party from making a proposal to acquire us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For example, on December 27, 2021, the Board of Directors adopted a Shareholder Rights Plan which, as amended, expired on the date of our annual meeting of shareholders in October 2022. The rights of holders of common stock will be subject to, and may be adversely affected by, the rights of the holders of any such class or series of preferred stock that may be issued.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 Massachusetts Business Corporation Act permits directors to look beyond the interests of shareholders and consider other constituencies in discharging their duties. In determining what the director of a Massachusetts corporation reasonably believes to be in the best interests of the corporation, a director may consider the interests of the corporation's employees, suppliers, creditors, and customers, the economy of the state, the region, and the nation, community and societal considerations and the long-term and short-term interests of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its shareholders, including the possibility that these interests may be best served by the continued independence of the corporation. </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Shareholder activism could cause us to incur significant expense, disrupt our business, result in a proxy contest or litigation and impact our stock price.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subject to shareholder activism and may be subject to such activism in the future, which could result in substantial costs and divert management’s and our Board’s attention and resources from our business. Such shareholder activism could give rise to perceived uncertainties as to our future, adversely affect our relationships with our employees, customers, or suppliers and make it more difficult to attract and retain qualified personnel. We may be required to incur significant fees and other expenses related to activist shareholder matters, including for third party advisors. We may be subjected to a proxy contest or to litigation by activist investors. Our stock price has been and could be subject to significant fluctuation or otherwise be adversely affected by the events, risks and uncertainties of any shareholder activism.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1C.CYBERSECURITY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assess and identify material risks from cybersecurity threats primarily through the work of our Chief Information Officer (“CIO”) as part of our enterprise risk management (“ERM”) process and through regularly scheduled meetings of our multidisciplinary cyber critical incident response team. The ERM process, administered by management with input from business leaders and our global and corporate functions, monitors material risks facing Mercury, including cybersecurity threats. Our CIO works directly with our CFO and other members of senior management to assess cybersecurity threats as part of the ERM process. Our CIO oversees the internal cybersecurity organization headed by our Chief Information Security Officer (our “Cybersecurity Team”).</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could be negatively impacted by a security breach, through a cyber-attack, cyber intrusion, insider threat, supply chain incident, or other significant disruption of our IT networks and related systems. See “Item 1A - Risk Factors” in this Annual Report for a further discussion of specific risks related to cybersecurity threats.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Cybersecurity Team monitors activity, scans applications and systems for vulnerabilities and risk from cybersecurity threats, and creates action plans to address and track identified cybersecurity threats until they have been remediated. Activities and cybersecurity incidents are reported to our cyber critical incident response team, and the CISO, who briefs our Compliance Committee, a dedicated committee of senior management focused on regulatory compliance. Our Cybersecurity Team also routinely engages with third parties, including government agencies focused on cyber resiliency, to manage risks from cybersecurity threats. For example, we are members of the DoD Defense Industrial Base Collaborative Information Sharing Environment, the National Defense Information Sharing and Analysis Center, and the National Security Agency Enduring Security Framework as well as Infragard, a partnership between the FBI and members of the private sector for the protection of U.S. critical infrastructure. These organizations share real-time cybersecurity threat information and best practices in protecting, detecting, and recovering from cybersecurity threats.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an insider threat program designed to identify, assess, and address potential internal risks from within our Company. Our program evaluates potential risks consistent with industry practices, customer requirements and applicable law, including privacy and other considerations. As a government contractor, we must comply with extensive cybersecurity regulations, including the Defense Federal Acquisition Regulation Supplement related to adequately safeguarding controlled unclassified information and reporting cybersecurity incidents to the DoD. Our policies and implemented controls reflect our adherence to these requirements.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Additionally, as part of our processes to manage risks related to a breach in our information systems, management requires employees to take cybersecurity trainings and shares regular awareness updates regarding cybersecurity threats. Our Cybersecurity Team regularly tests employees throughout the year to assess the effectiveness of our cybersecurity training. We also conduct penetration testing of our network and undertake cybersecurity assessments to improve our risk mitigation and assist in the determination of a potential material impact caused by a cybersecurity incident.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Board of Directors provides oversight of our ERM process and other guidelines and policies governing the processes by which our CEO and senior management assess our exposure to risk, including risk from cybersecurity threats. Our management Compliance Committee receives briefings from our CIO, Chief Information Security Officer, and other members of senior management on cybersecurity threats and related matters and assists the Board in its oversight and review of our ERM process.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Compliance Committee reviews our cybersecurity risk across the enterprise and our cybersecurity strategy framework and operational posture. The Compliance Committee also reviews our IT, data security and other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85fbab4b39f490a947cf0bf74aa845a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processes, policies, procedures and controls to (a) identify, assess, monitor, and mitigate cybersecurity risks; (b) identify measures to protect and safeguard against cybersecurity threats and breaches of confidential information and data and IT infrastructure and our other assets or assets of our customers or other third parties in our possession or custody; (c) support the response and management of cybersecurity threats and data breach incidents; and (d) aid in compliance with legal and regulatory requirements governing cybersecurity or data security reporting requirements.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date, we have not experienced any cybersecurity incidents that have had a material effect on the Company or our financial position, results of operations and/or cash flows. We continue to invest in cybersecurity and enhance the resiliency of our networks and to strengthen our internal controls and processes, which are designed to help protect our systems and infrastructure, and the data they contain. For more information regarding the risks we face from cybersecurity threats, please see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2.PROPERTIES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following table sets forth our significant properties as of June 27, 2025:</w:t>
      </w:r>
      <w:r>
        <w:rPr>
          <w:color w:val="000000"/>
        </w:rPr>
        <w:t> </w:t>
      </w:r>
    </w:p>
    <w:tbl>
      <w:tblPr>
        <w:tblW w:w="5518" w:type="dxa"/>
        <w:jc w:val="left"/>
        <w:tblInd w:w="0" w:type="dxa"/>
        <w:tblLayout w:type="fixed"/>
        <w:tblCellMar>
          <w:top w:w="28" w:type="dxa"/>
          <w:left w:w="28" w:type="dxa"/>
          <w:bottom w:w="28" w:type="dxa"/>
          <w:right w:w="28" w:type="dxa"/>
        </w:tblCellMar>
      </w:tblPr>
      <w:tblGrid>
        <w:gridCol w:w="725"/>
        <w:gridCol w:w="640"/>
        <w:gridCol w:w="645"/>
        <w:gridCol w:w="109"/>
        <w:gridCol w:w="109"/>
        <w:gridCol w:w="109"/>
        <w:gridCol w:w="109"/>
        <w:gridCol w:w="259"/>
        <w:gridCol w:w="259"/>
        <w:gridCol w:w="263"/>
        <w:gridCol w:w="109"/>
        <w:gridCol w:w="109"/>
        <w:gridCol w:w="109"/>
        <w:gridCol w:w="575"/>
        <w:gridCol w:w="575"/>
        <w:gridCol w:w="814"/>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Size in</w:t>
              <w:br/>
              <w:t>Sq.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Commitment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Andover, MA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2032</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Phoenix, AZ</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NH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Torrance,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2029</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Torrance,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2025</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Oxnard,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Gulf Breeze, FL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2031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Cypress, CA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Saddle River, NJ</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2029</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Alpharetta, GA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2028</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Chantilly, VA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Grand-Lancy, CH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Huntsville, 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 expiring 2026</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actively manage our facilities and are in pursuit of lease extensions or alternative locations for facilities with expiration dates in the next one to two years. In addition, we lease a number of smaller offices around the world primarily for sales and administrative purposes. See Note B and Note I to the consolidated financial statements for more information regarding our obligations under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ourself vigorously. The outcome of these matters, individually and in the aggregate, is not expected to have a material impact on our cash flows, results of operations, or financial position. Please see Note K to our consolidated financial statements (under the caption "Legal Claims")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4.1.INFORMATION ABOUT OUR EXECUTIVE OFFICERS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William L. Ballhaus</w:t>
      </w:r>
      <w:r>
        <w:rPr>
          <w:rFonts w:ascii="Times New Roman;serif" w:hAnsi="Times New Roman;serif"/>
          <w:b w:val="false"/>
          <w:color w:val="000000"/>
          <w:sz w:val="20"/>
        </w:rPr>
        <w:t xml:space="preserve">, age 58, joined the Company’s Board of Directors as a non-employee director in June 2022, was appointed interim President and Chief Executive Officer on June 24, 2023, and was appointed President and CEO effective August 15, 2023. In October 2023, Mr. Ballhaus became the Company’s Chairman of the Board effective with the annual meeting of shareholders. Mr. Ballhaus has significant experience in the aerospace, defense, and technology industries,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multiple CEO roles, as well as experience in operational transformations and delivering strong results. He previously served as Chairman and CEO of Blackboard, Inc., a leading EdTech company, from 2016 until its merger with Anthology in 2021. Prior to that, he served as CEO and President of SRA International, Inc., a provider of information technology services, from 2011 until the creation of CSRA Inc. from SRA International Inc.’s and CSC’s U.S. public sector business. Before that, Mr. Ballhaus served as CEO and President of government contractor DynCorp International from 2008 to 2010. Mr. Ballhaus has also held senior leadership positions at BAE Systems, Boeing, and Hughes, where he led global government and commercial technology businesses particularly focused on software and IT.</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David E. Farnsworth</w:t>
      </w:r>
      <w:r>
        <w:rPr>
          <w:rFonts w:ascii="Times New Roman;serif" w:hAnsi="Times New Roman;serif"/>
          <w:b w:val="false"/>
          <w:color w:val="000000"/>
          <w:sz w:val="20"/>
        </w:rPr>
        <w:t>, age 65, joined Mercury in July 2023 as Executive Vice President and Chief Financial Officer. Mr. Farnsworth was the Chief Financial Officer of HawkEye 360, a radio frequency data analytics company from 2020 to 2023. Before joining HawkEye 360, Mr. Farnsworth was Vice President and Chief Financial Officer for Integrated Defense Systems of Raytheon Company from 2018 to 2020. Before that, he was CFO for the Intelligence, Information and Services segment of Raytheon. In March 2025, Mr. Farnsworth was appointed as a non-voting Board advisor at V2X Inc., a leading facilities management, logistics and network communications services company. Mr. Farnsworth is serving as a Board advisor at V2X Inc., until the earlier of his election to the Board of Directors at their 2026 annual meeting of shareholders or an earlier vacancy on their Board.</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Stuart H. Kupinsky</w:t>
      </w:r>
      <w:r>
        <w:rPr>
          <w:rFonts w:ascii="Times New Roman;serif" w:hAnsi="Times New Roman;serif"/>
          <w:b w:val="false"/>
          <w:color w:val="000000"/>
          <w:sz w:val="20"/>
        </w:rPr>
        <w:t xml:space="preserve">, age 57, joined Mercury in February 2024 as Executive Vice President, Chief Legal Officer, and Corporate Secretary. Previously, Mr. Kupinsky served as Chief Legal Officer and General Counsel for five public and private technology companies, including Blackboard Inc. (later Anthology Inc. following its acquisition of Blackboard) from 2015 through 2024, one of the largest global education technology companies, and Tekelec, Inc., a public global telecommunications technology company serving the U.S. Department of Defense until its sale to Oracle. Mr. Kupinsky was also Chief Counsel for FirstNet, a multibillion-dollar independent government agency building a nationwide network for first responders. Earlier in his career he served as a trial attorney for the U.S. Department of Justice and as a law clerk on the U.S. Court of Appeals for the Federal Circuit. </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Steven V. Ratner</w:t>
      </w:r>
      <w:r>
        <w:rPr>
          <w:rFonts w:ascii="Times New Roman;serif" w:hAnsi="Times New Roman;serif"/>
          <w:b w:val="false"/>
          <w:color w:val="000000"/>
          <w:sz w:val="20"/>
        </w:rPr>
        <w:t>, age 49, joined Mercury in May 2022 as Senior Vice President and Chief Human Resources Officer and in September 2023 he became the Company’s Executive Vice President, Chief Human Resources Officer. Mr. Ratner brings more than 25 years of human resources leadership experience with extensive HR strategy, compensation, and employee engagement expertise. Prior to Mercury, he was Vice President of Human Resources for Raytheon Missiles &amp; Defense, a Raytheon business segment with approximately $16 billion in annual revenues and over 30,000 employees worldwide, from 2020 to 2022. Prior to that, he was Vice President of Human Resources and Security at Raytheon Integrated Defense Systems from 2015 to 2020. He has held numerous HR leadership positions throughout his career.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tbl>
      <w:tblPr>
        <w:tblW w:w="3983" w:type="dxa"/>
        <w:jc w:val="left"/>
        <w:tblInd w:w="0" w:type="dxa"/>
        <w:tblLayout w:type="fixed"/>
        <w:tblCellMar>
          <w:top w:w="28" w:type="dxa"/>
          <w:left w:w="28" w:type="dxa"/>
          <w:bottom w:w="28" w:type="dxa"/>
          <w:right w:w="28" w:type="dxa"/>
        </w:tblCellMar>
      </w:tblPr>
      <w:tblGrid>
        <w:gridCol w:w="629"/>
        <w:gridCol w:w="554"/>
        <w:gridCol w:w="556"/>
        <w:gridCol w:w="211"/>
        <w:gridCol w:w="616"/>
        <w:gridCol w:w="109"/>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Fourth quarter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Fourth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27, 2025, we had 461 record shareholders and 45,709 nominee holders.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shares of our common stock. We currently intend to retain any earnings for future growth. Accordingly, we do not anticipate that any cash dividends will be declared or paid on our common stock in the foreseeable future.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Share Settlement Plans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we made no net share settlements of our common stock in connection with the surrender of shares to cover the minimum taxes on vesting of restricted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 Plans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fiscal 2025, we had no active share repurchase programs.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Equity Compensation Plans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6.[RESERVED]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information provided, statements made by our employees or information included in our filings with the Securities and Exchange Commission (“SEC”) may contain statements that are not historical facts but that are “forward-looking statements,” which involve risks and uncertainties.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any U.S. federal government shutdown or extended continuing resolution, effects of geopolitical unrest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the Company's products, shortages in or delays in receiving components, supply chain delays or volatility for critical components, production delays or unanticipated expenses including due to quality issues or manufacturing execution issues,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changes in tax rates or tax regulations, changes to interest rate swaps or other cash flow hedging arrangements, changes to generally accepted accounting principles, difficulties in retaining key employees and customers, litigation, including the dispute arising with the former CEO over his resignation,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Systems is a technology company that delivers mission-critical processing to the edge to solve the most pressing aerospace and defense challenges. Mercury’s products and solutions are deployed in more than 300 programs and across 35 countries. The Company is headquartered in Andover, Massachusetts, and has over 20 locations worldwide.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the unique advantage we provide to our customers. It comprises the innovative technologies we’ve developed and acquired for more than 40 years that bring integrated, mission-critical processing capabilities to the edge. Our processing platform spans the full breadth of signal processing—from RF front end to the human-machine interface—to rapidly convert meaningful data, gathered in the most remote and hostile environments, into critical decisions. It allows us to offer standard products and custom solutions from silicon to system scale, including components, modules, subsystems, and systems and it embodies the customer-centric approach we take to delivering capabilities that are mission-ready, trusted and secure, software-defined, and open and modular.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leading manufacturer of essential components, products, modules and subsystems, we sell to the top U.S. and European defense prime contractors, the U.S. government and original equipment manufacturers (“OEM”) commercial aerospace companies. Our mission-critical products and solutions are deployed by our customers for a variety of applications including sensor and radar processing, electronic warfare, avionics, weapons, and command, control, communications, and intelligence ("C4I"). Mercury has built a trusted, robust portfolio of proven capabilities, leveraging the most advanced commercial silicon technologies and purpose-built to exceed the performance needs of our defense and commercial customers. Customers add their own applications and algorithms to our specialized, secure and innovative products and pre-integrated solutions. This allows them to complete their full system by integrating with their platform, the sensor technology and, increasingly, the processing from Mercury.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deep, long-standing relationships with leading high-tech and other commercial companies, coupled with our targeted research and development (“R&amp;D”) investments and industry-leading trusted and secure design and manufacturing capabilities, are the foundational tenets of this highly successful model. We are leading the development and adaptation of commercial technology for aerospace and defense solutions. From chip-scale to system scale and from data, including RF to digital to decision, we make mission-critical technologies safe, secure, affordable and relevant for our customers.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capabilities, technology, people and R&amp;D investment strategy combine to differentiate Mercury in our industry. We maintain our technological edge by investing in critical capabilities and intellectual property (“IP” or “building blocks”) in processing, leveraging open standards and open architectures to adapt quickly those building blocks into solutions for highly data-intensive applications, including emerging needs in areas such as artificial intelligence (“AI”).</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27, 2025, we had 2,162 employees. Our consolidated revenues, net loss, diluted net loss per share, adjusted earnings per share, and adjusted EBITDA for fiscal 2025 were $912.0 million, $(37.9) million, $(0.65), $0.64 and $119.4 million, respectively. Our consolidated revenues, net loss, diluted net loss per share, adjusted loss per share and adjusted EBITDA for fiscal 2024 were $835.3 million, $(137.6) million, $(2.38), $(0.69) and $9.4 million, respectively. See the Non-GAAP Financial Measures section for a reconciliation to our most directly comparable GAAP financial measures.</w:t>
      </w:r>
    </w:p>
    <w:p>
      <w:pPr>
        <w:pStyle w:val="TextBody"/>
        <w:bidi w:val="0"/>
        <w:spacing w:lineRule="auto" w:line="288" w:before="240" w:after="283"/>
        <w:jc w:val="both"/>
        <w:rPr/>
      </w:pPr>
      <w:r>
        <w:rPr>
          <w:rFonts w:ascii="Times New Roman;serif" w:hAnsi="Times New Roman;serif"/>
          <w:b/>
          <w:color w:val="000000"/>
          <w:sz w:val="20"/>
        </w:rPr>
        <w:t>B</w:t>
      </w:r>
      <w:r>
        <w:rPr>
          <w:rFonts w:ascii="Times New Roman;serif" w:hAnsi="Times New Roman;serif"/>
          <w:b/>
          <w:color w:val="000000"/>
          <w:sz w:val="16"/>
        </w:rPr>
        <w:t>USINESS</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EVELOPMENTS</w:t>
      </w:r>
      <w:r>
        <w:rPr>
          <w:rFonts w:ascii="Times New Roman;serif" w:hAnsi="Times New Roman;serif"/>
          <w:b/>
          <w:color w:val="000000"/>
          <w:sz w:val="20"/>
        </w:rPr>
        <w:t>:</w:t>
      </w:r>
    </w:p>
    <w:p>
      <w:pPr>
        <w:pStyle w:val="TextBody"/>
        <w:bidi w:val="0"/>
        <w:spacing w:lineRule="auto" w:line="288" w:before="100" w:after="283"/>
        <w:ind w:left="0" w:right="0" w:firstLine="450"/>
        <w:jc w:val="both"/>
        <w:rPr/>
      </w:pPr>
      <w:r>
        <w:rPr>
          <w:rFonts w:ascii="Times New Roman;serif" w:hAnsi="Times New Roman;serif"/>
          <w:b w:val="false"/>
          <w:color w:val="000000"/>
          <w:sz w:val="20"/>
        </w:rPr>
        <w:t>F</w:t>
      </w:r>
      <w:r>
        <w:rPr>
          <w:rFonts w:ascii="Times New Roman;serif" w:hAnsi="Times New Roman;serif"/>
          <w:b w:val="false"/>
          <w:color w:val="000000"/>
          <w:sz w:val="16"/>
        </w:rPr>
        <w:t>ISCAL</w:t>
      </w:r>
      <w:r>
        <w:rPr>
          <w:color w:val="000000"/>
        </w:rPr>
        <w:t xml:space="preserve"> </w:t>
      </w:r>
      <w:r>
        <w:rPr>
          <w:rFonts w:ascii="Times New Roman;serif" w:hAnsi="Times New Roman;serif"/>
          <w:b w:val="false"/>
          <w:color w:val="000000"/>
          <w:sz w:val="20"/>
        </w:rPr>
        <w:t>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13, 2024, we entered into Amendment No. 6 (“Amendment No. 6”) to our credit agreement dated May 2, 2016, as amended to date. Amendment No. 6 permanently decreased borrowing capacity to $900.0 million, with a temporary reduction in credit availability to $750.0 million until we meet a minimum consolidated EBITDA level of $75.0 million excluding (a) adjustments for cost savings, operating expense reductions and synergies, (b) EAC charges and other non-cash expenses, charges, and losses addbacks and (c) deducts to reverse EAC charges previously added back, in each case for a last twelve-month period. We had $591.5 million in outstanding borrowings both prior to and following the closing of Amendment No. 6. See Note L in the accompanying consolidated financial statements for further discussions of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29, 2025, we executed a workforce reduction that eliminated approximately 145 positions, which resulted in restructuring charges of $4.9 million for employee separation costs, which costs are classified as restructuring and other charges within our statement of operations and other comprehensive income. The headcount savings, primarily within R&amp;D and cost of revenues, are expected to yield annualized savings of approximately $15 million, a portion of which is expected to be reinvested in the business with the remainder supporting improved profitability and operating leverage for our fiscal year 2026.</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2025, we announced the departure of our Executive Vice President and Chief Operating Officer, with Mr. Ballhaus, our Chairman and CEO, leading the business operations group, with the group’s senior leaders reporting directly to him. Mr. Farnsworth, our Executive Vice President and Chief Financial Officer, assumed additional responsibilities including leading a rigorous and focused organization-wide management operating system; actioning a robust and aligned technology investment strategy; overseeing execution related customer engagements; and driving operational performance.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April 15, 2025, we entered into a strategic supply agreement under which Cicor Group acquired the Company's manufacturing operations in Plan-Les-Ouates, Switzerland, and exclusively provides contract manufacturing to supply the Company's international operations with electronic products over the next five years.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we completed an asset acquisition of Star Lab, a subsidiary of Wind River Systems, Inc., that provides anti-tamper and cybersecurity software solutions designed to protect mission-critical processors from advanced attacks. </w:t>
      </w:r>
    </w:p>
    <w:p>
      <w:pPr>
        <w:pStyle w:val="TextBody"/>
        <w:bidi w:val="0"/>
        <w:spacing w:lineRule="auto" w:line="288" w:before="100" w:after="283"/>
        <w:ind w:left="0" w:right="0" w:firstLine="450"/>
        <w:jc w:val="both"/>
        <w:rPr/>
      </w:pPr>
      <w:r>
        <w:rPr>
          <w:rFonts w:ascii="Times New Roman;serif" w:hAnsi="Times New Roman;serif"/>
          <w:b w:val="false"/>
          <w:color w:val="000000"/>
          <w:sz w:val="20"/>
        </w:rPr>
        <w:t>F</w:t>
      </w:r>
      <w:r>
        <w:rPr>
          <w:rFonts w:ascii="Times New Roman;serif" w:hAnsi="Times New Roman;serif"/>
          <w:b w:val="false"/>
          <w:color w:val="000000"/>
          <w:sz w:val="16"/>
        </w:rPr>
        <w:t>ISCAL</w:t>
      </w:r>
      <w:r>
        <w:rPr>
          <w:color w:val="000000"/>
        </w:rPr>
        <w:t xml:space="preserve"> </w:t>
      </w:r>
      <w:r>
        <w:rPr>
          <w:rFonts w:ascii="Times New Roman;serif" w:hAnsi="Times New Roman;serif"/>
          <w:b w:val="false"/>
          <w:color w:val="000000"/>
          <w:sz w:val="20"/>
        </w:rPr>
        <w:t>2024</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2023, we executed the planned evolution of our 1MPACT value creation initiative, embedding the processes and execution of 1MPACT into our operations organization. The 1MPACT office concluded its responsibilities, having successfully incorporated the principles behind 1MPACT into how we think about continuous improvement at all levels of the Company.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15, 2023, we announced William L. Ballhaus has been appointed President and Chief Executive Officer.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9, 2023, we approved and initiated a workforce reduction that, together with the consolidation of 1MPACT into our operations organization, eliminated approximately 150 positions resulting in $9.5 million of severance costs. Our plan enacted several immediate cost savings measures that simplified our organizational structure, facilitated clearer accountability, and aligned our priorities, including: (i) embedded the 1MPACT value creation initiatives and execution into the Company’s operations; (ii) streamlined organizational structure and removed areas of redundancy between corporate and divisional organizations; and (iii) reduced selling, general, and administrative headcount and rebalanced discretionary and third party spend to better align with our priority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7, 2023, we entered into Amendment No. 5 (“Amendment No. 5”) to the Company’s Credit Agreement dated May 2, 2016, as amended to date. Due to the uncertainty surrounding a government shutdown or prolonged continuing resolution and the potential impact on the second quarter and fiscal 2024 results, we proactively executed Amendment No. 5 to allow for a temporary increase in the Consolidated Total Net Leverage Ratio covenant requirement from 4.50 to 5.25 for the second quarter ended December 29, 2023. As part of Amendment No. 5, we agreed to a temporary reduction of Revolver capacity to $750.0 million through the earlier of May 15, 2024 or the filing of the compliance certificate for the period ended March 29, 2024. We had $576.5 million in outstanding borrowings both prior to and following the closing of Amendment No. 5. See Note L in the accompanying consolidated financial statements for further discussions of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12, 2024, we adopted a plan to consolidate our Mission Systems and Microelectronics divisions into one unified structure that incorporates multiple business units and functions, under the leadership of an Executive Vice President, Chief Operating Officer effective as of January 22, 2024. This consolidation was designed to simplify our organizational structure, facilitate clearer accountability, and align to our priorities. On January 12, 2024, we approved and initiated workforce reductions that eliminated approximately 100 positions resulting in an additional $9,841 of severance costs for fiscal 2024. See Note H in the accompanying consolidated financial statements for further discussions of restructuring charges incurred during the year.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17, 2024, we approved the next phase of our consolidation efforts and implemented a workforce reduction that eliminated approximately 100 positions and resulted in restructuring charges of $6,781 for employee separation costs. See Note H in the accompanying consolidated financial statements for further discussions of restructuring charges incurred during the year.</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2025 V</w:t>
      </w:r>
      <w:r>
        <w:rPr>
          <w:rFonts w:ascii="Times New Roman;serif" w:hAnsi="Times New Roman;serif"/>
          <w:b/>
          <w:color w:val="000000"/>
          <w:sz w:val="16"/>
        </w:rPr>
        <w:t>S</w:t>
      </w:r>
      <w:r>
        <w:rPr>
          <w:rFonts w:ascii="Times New Roman;serif" w:hAnsi="Times New Roman;serif"/>
          <w:b/>
          <w:color w:val="000000"/>
          <w:sz w:val="20"/>
        </w:rPr>
        <w:t>. F</w:t>
      </w:r>
      <w:r>
        <w:rPr>
          <w:rFonts w:ascii="Times New Roman;serif" w:hAnsi="Times New Roman;serif"/>
          <w:b/>
          <w:color w:val="000000"/>
          <w:sz w:val="16"/>
        </w:rPr>
        <w:t>ISCAL</w:t>
      </w:r>
      <w:r>
        <w:rPr>
          <w:color w:val="000000"/>
        </w:rPr>
        <w:t xml:space="preserve"> </w:t>
      </w:r>
      <w:r>
        <w:rPr>
          <w:rFonts w:ascii="Times New Roman;serif" w:hAnsi="Times New Roman;serif"/>
          <w:b/>
          <w:color w:val="000000"/>
          <w:sz w:val="20"/>
        </w:rPr>
        <w:t xml:space="preserve">2024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Item 7 of the Company's Form 10-K issued on August 13, 2024 for prior year discussion related to fiscal 2024.</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for the periods indicated, financial data from the Consolidated Statements of Operations and Comprehensive Loss:</w:t>
      </w:r>
    </w:p>
    <w:tbl>
      <w:tblPr>
        <w:tblW w:w="9275" w:type="dxa"/>
        <w:jc w:val="left"/>
        <w:tblInd w:w="0" w:type="dxa"/>
        <w:tblLayout w:type="fixed"/>
        <w:tblCellMar>
          <w:top w:w="28" w:type="dxa"/>
          <w:left w:w="28" w:type="dxa"/>
          <w:bottom w:w="28" w:type="dxa"/>
          <w:right w:w="28" w:type="dxa"/>
        </w:tblCellMar>
      </w:tblPr>
      <w:tblGrid>
        <w:gridCol w:w="1345"/>
        <w:gridCol w:w="1185"/>
        <w:gridCol w:w="1190"/>
        <w:gridCol w:w="211"/>
        <w:gridCol w:w="826"/>
        <w:gridCol w:w="109"/>
        <w:gridCol w:w="109"/>
        <w:gridCol w:w="109"/>
        <w:gridCol w:w="109"/>
        <w:gridCol w:w="308"/>
        <w:gridCol w:w="308"/>
        <w:gridCol w:w="458"/>
        <w:gridCol w:w="109"/>
        <w:gridCol w:w="109"/>
        <w:gridCol w:w="109"/>
        <w:gridCol w:w="211"/>
        <w:gridCol w:w="901"/>
        <w:gridCol w:w="109"/>
        <w:gridCol w:w="109"/>
        <w:gridCol w:w="109"/>
        <w:gridCol w:w="109"/>
        <w:gridCol w:w="308"/>
        <w:gridCol w:w="308"/>
        <w:gridCol w:w="51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pPr>
      <w:r>
        <w:rPr>
          <w:rFonts w:ascii="Times New Roman;serif" w:hAnsi="Times New Roman;serif"/>
          <w:b/>
          <w:color w:val="000000"/>
          <w:sz w:val="20"/>
        </w:rPr>
        <w:t>R</w:t>
      </w:r>
      <w:r>
        <w:rPr>
          <w:rFonts w:ascii="Times New Roman;serif" w:hAnsi="Times New Roman;serif"/>
          <w:b/>
          <w:color w:val="000000"/>
          <w:sz w:val="16"/>
        </w:rPr>
        <w:t>EVENUES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$76.7 million, or 9.2%, to $912.0 million during fiscal 2025, as compared to $835.3 million during fiscal 2024. Revenues increased year over year as we pivoted our resources in fiscal 2025 to executing on our program base, including progress toward full rate production of our common processing architecture programs, following the prioritization of resources to execute our challenged programs in fiscal 2024. Point in time revenue and over time revenue represented 53% and 47%, respectively, of total revenue during fiscal 2025. Point in time revenue increased $112.3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over time revenue decreased $35.5 million as we transitioned many of our development programs to production. Point in time revenue and over time revenue represented 45% and 55%, respectively, of total revenues during fiscal 2024.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experienced revenue increases across the modules and sub-assemblies and integrated solutions product groupings of $60.5 million and $18.7 million, respectively, partially offset by a decrease to the components product grouping of $2.5 million. The increase in total revenue was primarily driven by the radar, other, and C4I end applications increases of $67.7 million, $34.4 million, and $15.1 million, respectively, partially offset by decreases to other sensor and effector and electronic warfare end applications of $30.2 million and $10.3 million, respectively. We experienced increases across several of our platforms during fiscal 2025 when compared to fiscal 2024; Land, Other, and Naval platforms increased $50.5 million, $43.5 million, and $7.9 million, respectively, partially offset by decreases to Airborne and Space platforms of $20.6 million and $4.6 million, respectively. The largest program increases were related to LTAMDS, KC-46, MH-60R/S, THAAD and a secure processing program, partially offset by decreases to the SCAR and ADTS programs when compared to the prior period. There were no programs comprising 10% or more of our revenues for fiscal 2025 or 2024.</w:t>
      </w:r>
    </w:p>
    <w:p>
      <w:pPr>
        <w:pStyle w:val="TextBody"/>
        <w:bidi w:val="0"/>
        <w:spacing w:lineRule="auto" w:line="288" w:before="180" w:after="283"/>
        <w:jc w:val="both"/>
        <w:rPr/>
      </w:pPr>
      <w:r>
        <w:rPr>
          <w:rFonts w:ascii="Times New Roman;serif" w:hAnsi="Times New Roman;serif"/>
          <w:b/>
          <w:color w:val="000000"/>
          <w:sz w:val="20"/>
        </w:rPr>
        <w:t>G</w:t>
      </w:r>
      <w:r>
        <w:rPr>
          <w:rFonts w:ascii="Times New Roman;serif" w:hAnsi="Times New Roman;serif"/>
          <w:b/>
          <w:color w:val="000000"/>
          <w:sz w:val="16"/>
        </w:rPr>
        <w:t>ROSS</w:t>
      </w:r>
      <w:r>
        <w:rPr>
          <w:color w:val="000000"/>
        </w:rPr>
        <w:t xml:space="preserve"> </w:t>
      </w:r>
      <w:r>
        <w:rPr>
          <w:rFonts w:ascii="Times New Roman;serif" w:hAnsi="Times New Roman;serif"/>
          <w:b/>
          <w:color w:val="000000"/>
          <w:sz w:val="20"/>
        </w:rPr>
        <w:t>M</w:t>
      </w:r>
      <w:r>
        <w:rPr>
          <w:rFonts w:ascii="Times New Roman;serif" w:hAnsi="Times New Roman;serif"/>
          <w:b/>
          <w:color w:val="000000"/>
          <w:sz w:val="16"/>
        </w:rPr>
        <w:t>ARGIN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Gross margin was 27.9% for fiscal 2025, an increase of 440 basis points from the 23.5% gross margin realized during fiscal 2024. The higher gross margin was primarily driven by net EAC change impact on our programs recognized over time of $21.1 million recorded in the period, an incremental improvement of approximately $52.2 million, or 650 basis points, when compared to the prior period as well as lower manufacturing adjustments of $16.4 million, related to inventory reserves, warranty expense, and certain other non-recurring cost adjustments. We may experience increases in our manufacturing costs related to the imposition of tariffs on the import of components from other countries. See Item 1A. Risk Factors for discussion on potential impact from tariffs. We did not see material increases to these costs in fiscal 2025, but they could impact our gross margins in fiscal 2026.</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the following aggregate effects of favorable and unfavorable margin impacts as a result of changes in estimates across our portfolio for the period presented:</w:t>
      </w:r>
    </w:p>
    <w:tbl>
      <w:tblPr>
        <w:tblW w:w="5871" w:type="dxa"/>
        <w:jc w:val="left"/>
        <w:tblInd w:w="0" w:type="dxa"/>
        <w:tblLayout w:type="fixed"/>
        <w:tblCellMar>
          <w:top w:w="28" w:type="dxa"/>
          <w:left w:w="28" w:type="dxa"/>
          <w:bottom w:w="28" w:type="dxa"/>
          <w:right w:w="28" w:type="dxa"/>
        </w:tblCellMar>
      </w:tblPr>
      <w:tblGrid>
        <w:gridCol w:w="1058"/>
        <w:gridCol w:w="931"/>
        <w:gridCol w:w="935"/>
        <w:gridCol w:w="109"/>
        <w:gridCol w:w="109"/>
        <w:gridCol w:w="109"/>
        <w:gridCol w:w="212"/>
        <w:gridCol w:w="803"/>
        <w:gridCol w:w="109"/>
        <w:gridCol w:w="109"/>
        <w:gridCol w:w="109"/>
        <w:gridCol w:w="109"/>
        <w:gridCol w:w="212"/>
        <w:gridCol w:w="802"/>
        <w:gridCol w:w="155"/>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favorable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(73,245)</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estimates are assessed based on historical results and cumulative adjustments are recorded to recognize revenue to date based on changes in estimated margin on programs, factored for potential risks and opportunities. We utilize the latest and best information available when revising our estimates and apply consistent judgement across the full portfolio of programs. </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ELLING</w:t>
      </w:r>
      <w:r>
        <w:rPr>
          <w:rFonts w:ascii="Times New Roman;serif" w:hAnsi="Times New Roman;serif"/>
          <w:b/>
          <w:color w:val="000000"/>
          <w:sz w:val="20"/>
        </w:rPr>
        <w:t>, G</w:t>
      </w:r>
      <w:r>
        <w:rPr>
          <w:rFonts w:ascii="Times New Roman;serif" w:hAnsi="Times New Roman;serif"/>
          <w:b/>
          <w:color w:val="000000"/>
          <w:sz w:val="16"/>
        </w:rPr>
        <w:t>ENERAL</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DMINISTRATIVE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$12.4 million, or 7.4%, to $154.4 million during fiscal 2025 as compared to $166.8 million during fiscal 2024. The decrease was primarily driven by the full year impact of the reduction in force initiated in fiscal 2024, resulting in lower compensation costs of $14.4 million. There were also reductions in bad debt expense and software licensing fees of $14.4 million and $4.0 million, respectively. These decreases were partially offset by higher litigation and settlement, bonus, and consulting expense of $9.9 million, $5.0 million, and $1.8 million, respectively.</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ESEARCH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$33.7 million, or 33.3%, to $67.6 million during fiscal 2025, as compared to $101.3 million for fiscal 2024. The decrease was primarily driven by the savings from headcount reductions of 211 employees, resulting in lower expense of $25.8 million. There were also reductions in consulting and outside service, equipment and supplies, and depreciation expense of $8.8 million, $4.2 million, and $1.3 million, respectively, partially offset by higher bonus expense of $5.9 million.</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MORTIZATION</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NTANGIBLE</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decreased $4.9 million to $42.8 million during fiscal 2025, as compared to $47.7 million for fiscal 2024, due to various developed technology, customer relationship, and backlog intangibles being fully amortized during fiscal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ESTRUCTURING</w:t>
      </w:r>
      <w:r>
        <w:rPr>
          <w:color w:val="000000"/>
        </w:rPr>
        <w:t xml:space="preserve"> </w:t>
      </w:r>
      <w:r>
        <w:rPr>
          <w:rFonts w:ascii="Times New Roman;serif" w:hAnsi="Times New Roman;serif"/>
          <w:b/>
          <w:color w:val="000000"/>
          <w:sz w:val="16"/>
        </w:rPr>
        <w:t xml:space="preserve">AND </w:t>
      </w:r>
      <w:r>
        <w:rPr>
          <w:rFonts w:ascii="Times New Roman;serif" w:hAnsi="Times New Roman;serif"/>
          <w:b/>
          <w:color w:val="000000"/>
          <w:sz w:val="20"/>
        </w:rPr>
        <w:t>O</w:t>
      </w:r>
      <w:r>
        <w:rPr>
          <w:rFonts w:ascii="Times New Roman;serif" w:hAnsi="Times New Roman;serif"/>
          <w:b/>
          <w:color w:val="000000"/>
          <w:sz w:val="16"/>
        </w:rPr>
        <w:t xml:space="preserve">THER </w:t>
      </w:r>
      <w:r>
        <w:rPr>
          <w:rFonts w:ascii="Times New Roman;serif" w:hAnsi="Times New Roman;serif"/>
          <w:b/>
          <w:color w:val="000000"/>
          <w:sz w:val="20"/>
        </w:rPr>
        <w:t>C</w:t>
      </w:r>
      <w:r>
        <w:rPr>
          <w:rFonts w:ascii="Times New Roman;serif" w:hAnsi="Times New Roman;serif"/>
          <w:b/>
          <w:color w:val="000000"/>
          <w:sz w:val="16"/>
        </w:rPr>
        <w:t>HARGES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we incurred $7.2 million of restructuring and other charges, related to severance related charges primarily associated with the reduction in workforce initiated January 29, 2025 that eliminated approximately 145 positions. Restructuring and other charges during fiscal 2024 include $26.2 million of severance costs related to workforce reductions that eliminated approximately 350 positions.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of the Restructuring and other charges are classified as Operating expenses in the Consolidated Statements of Operations and Comprehensive Loss and any remaining restructuring obligations are expected to be paid within the next twelve months.</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CQUISITION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OSTS</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THER</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ELATED</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XPENSES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costs and other related expenses were $2.0 million during fiscal 2025, as compared to $1.7 million during fiscal 2024. The acquisition costs and other related expenses we incurred during fiscal 2025 includes $1.4 million related to the sale of our manufacturing operations in Plan-Les-Ouates, Switzerland and the associated supply agreement with Cicor Group and $0.6 million related to run-rate amortization of fair value adjustments from purchase accounting on prior acquisitions.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Acquisition costs during fiscal 2024 were primarily included $0.7 million related to run-rate amortization of fair value adjustments from purchase accounting, $0.3 million related to the conclusion of the Board of Directors' review of strategic alternatives, as well as $0.3 million for third-party advisory fees in connection with engagements by activist investors.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could incur acquisition costs and other related expenses periodically in the future as we continue to seek acquisition opportunities to expand our technological capabilities and especially within the sensor and effector and C4I markets. Transaction costs incurred by the acquiree prior to the consummation of an acquisition would not be reflected in our historical results of operations.</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 xml:space="preserve">NTEREST </w:t>
      </w:r>
      <w:r>
        <w:rPr>
          <w:rFonts w:ascii="Times New Roman;serif" w:hAnsi="Times New Roman;serif"/>
          <w:b/>
          <w:color w:val="000000"/>
          <w:sz w:val="20"/>
        </w:rPr>
        <w:t>I</w:t>
      </w:r>
      <w:r>
        <w:rPr>
          <w:rFonts w:ascii="Times New Roman;serif" w:hAnsi="Times New Roman;serif"/>
          <w:b/>
          <w:color w:val="000000"/>
          <w:sz w:val="16"/>
        </w:rPr>
        <w:t xml:space="preserve">NCOME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$3.6 million of interest income in fiscal 2025, as compared to $1.2 million in fiscal 2024. The increase was driven by higher average cash and cash equivalents during the period. </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 xml:space="preserve">NTEREST </w:t>
      </w:r>
      <w:r>
        <w:rPr>
          <w:rFonts w:ascii="Times New Roman;serif" w:hAnsi="Times New Roman;serif"/>
          <w:b/>
          <w:color w:val="000000"/>
          <w:sz w:val="20"/>
        </w:rPr>
        <w:t>E</w:t>
      </w:r>
      <w:r>
        <w:rPr>
          <w:rFonts w:ascii="Times New Roman;serif" w:hAnsi="Times New Roman;serif"/>
          <w:b/>
          <w:color w:val="000000"/>
          <w:sz w:val="16"/>
        </w:rPr>
        <w:t>XPENSE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fiscal 2025 decreased to $33.4 million, as compared to $35.0 million in fiscal 2024. The decrease was driven primarily by lower average rates during the period on the Revolver. Borrowings under our Revolver were $591.5 million at June 27, 2025 and June 28, 2024, respectively. </w:t>
      </w:r>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 xml:space="preserve">THER </w:t>
      </w:r>
      <w:r>
        <w:rPr>
          <w:rFonts w:ascii="Times New Roman;serif" w:hAnsi="Times New Roman;serif"/>
          <w:b/>
          <w:color w:val="000000"/>
          <w:sz w:val="20"/>
        </w:rPr>
        <w:t>E</w:t>
      </w:r>
      <w:r>
        <w:rPr>
          <w:rFonts w:ascii="Times New Roman;serif" w:hAnsi="Times New Roman;serif"/>
          <w:b/>
          <w:color w:val="000000"/>
          <w:sz w:val="16"/>
        </w:rPr>
        <w:t xml:space="preserve">XPENSE, </w:t>
      </w:r>
      <w:r>
        <w:rPr>
          <w:rFonts w:ascii="Times New Roman;serif" w:hAnsi="Times New Roman;serif"/>
          <w:b/>
          <w:color w:val="000000"/>
          <w:sz w:val="20"/>
        </w:rPr>
        <w:t>N</w:t>
      </w:r>
      <w:r>
        <w:rPr>
          <w:rFonts w:ascii="Times New Roman;serif" w:hAnsi="Times New Roman;serif"/>
          <w:b/>
          <w:color w:val="000000"/>
          <w:sz w:val="16"/>
        </w:rPr>
        <w:t>ET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expense, net was $1.0 million during fiscal 2025, as compared to $7.7 million in fiscal 2024. Fiscal 2025 includes $5.3 million of financing costs, $2.3 million of securities class action expense, and $1.1 million of consulting costs, partially offset by other income primarily related to the gain associated with the sale of manufacturing operations to Cicor Group of $3.3 million and the sale of our mc.com domain name of $2.7 million, as well as $1.7 million of net foreign currency translation gains during fiscal 2025. There was $4.9 million of litigation and settlement costs, $3.4 million of financing costs and $0.4 million of net foreign currency translation losses, partially offset by other income of $1.3 million during fiscal 2024.</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NCOME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 xml:space="preserve">AXES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an income tax benefit of $12.5 million and $51.6 million on losses before income taxes of $50.4 million and $189.3 million for fiscal years 2025 and 2024,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2025 differed from the federal statutory rate primarily due to federal and state research and development tax credits, changes to reserves for unrecognized income tax benefits and state taxes, partially offset by nondeductible compensation and tax provisions related to stock compensation.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fiscal 2024 differed from the federal statutory rate primarily due to federal and state research and development tax credits and state taxes, partially offset by tax provisions related to stock compensation.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continue to maintain a valuation allowance on our foreign net operating loss carryforwards and the majority of our state research and development tax credit carryforwards. The realizability of deferred tax assets is continuously monitored, and the need for a valuation allowance is reassessed each reporting period based on the best available information. While sufficient taxable income to utilize the remainder of deferred tax assets is currently projected, changes to our forecast could lead to the establishment of a valuation allowance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which includes a broad range of tax provisions and extended and modified certain provisions of the Tax Cuts and Jobs Act ("TCJA"), including, but not limited to, restoration of 100% bonus depreciation, EBITDA-based interest expense limitation and immediate expensing of domestic research and development expenditures. Due to the timing of the bill being enacted after fiscal 2025, the impact of the OBBBA will be reflected in fiscal 2026. We are evaluating the impacts of this legislation on future periods.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come from existing cash and cash generated from operations, our Revolver, and our ability to raise capital under our universal shelf registration statement. Our near-term fixed commitments for cash expenditures consist primarily of payments under operating leases and inventory purchase commitments. During fiscal 2024, our working capital decreased primarily related to unbilled receivables and deferred revenue. As we completed our challenged programs and received follow-on production awards, both our unbilled receivables and inventory have begun converting to cash, which is reducing our working capital balances. During fiscal 2025, our working capital balance declined $90.1 million compared to the prior year.</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our current plans and business conditions, we believe that existing cash and cash equivalents, our available Revolver, cash generated from operations and our financing capabilities will be sufficient to satisfy our anticipated cash requirements for at least the next twelve months.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4, 2023, we filed a shelf registration statement on Form S-3ASR with the SEC. The shelf registration statement, which was effective upon filing with the SEC, registered each of the following securities: debt securities, preferred stock, common stock, warrants and units. We intend to use the proceeds from financings using the shelf registration statement for general corporate purposes, which may include the following:</w:t>
      </w:r>
    </w:p>
    <w:p>
      <w:pPr>
        <w:pStyle w:val="TextBody"/>
        <w:bidi w:val="0"/>
        <w:spacing w:lineRule="auto" w:line="288" w:before="120" w:after="60"/>
        <w:ind w:left="0" w:right="0" w:hanging="630"/>
        <w:jc w:val="left"/>
        <w:rPr/>
      </w:pPr>
      <w:r>
        <w:rPr>
          <w:color w:val="000000"/>
        </w:rPr>
        <w:t>•</w:t>
      </w:r>
      <w:r>
        <w:rPr>
          <w:rFonts w:ascii="Times New Roman;serif" w:hAnsi="Times New Roman;serif"/>
          <w:b w:val="false"/>
          <w:color w:val="000000"/>
          <w:sz w:val="20"/>
        </w:rPr>
        <w:t>the acquisition of other companies or businesses;</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the repayment and refinancing of debt;</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capital expenditures;</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working capital; and</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other purposes as described in the prospectus supplement.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unlimited amount available under the shelf registration statement.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7, 2023, due to the uncertainty surrounding a government shutdown or prolonged continuing resolution and the potential impact on the second quarter and fiscal 2024 results, we proactively executed Amendment No. 5 to the Revolver, as amended to date, with a syndicate of commercial banks and Bank of America, N.A acting as the administrative agent allowing for a temporary increase in the Consolidated Total Net Leverage Ratio covenant requirement from 4.50 to 5.25 for the second quarter ended December 29, 2023. As part of Amendment No. 5, we agreed to a temporary reduction of Revolver capacity to $750.0 million through the earlier of May 15, 2024 or the filing of the compliance certificate for the period ended March 29, 2024.</w:t>
      </w:r>
    </w:p>
    <w:p>
      <w:pPr>
        <w:pStyle w:val="TextBody"/>
        <w:bidi w:val="0"/>
        <w:spacing w:lineRule="auto" w:line="288" w:before="100" w:after="283"/>
        <w:ind w:left="0" w:right="0" w:firstLine="495"/>
        <w:jc w:val="both"/>
        <w:rPr/>
      </w:pPr>
      <w:r>
        <w:rPr>
          <w:rFonts w:ascii="Times New Roman;serif" w:hAnsi="Times New Roman;serif"/>
          <w:b w:val="false"/>
          <w:color w:val="000000"/>
          <w:sz w:val="20"/>
        </w:rPr>
        <w:t>On August 13, 2024, we executed Amendment No. 6 to the Revolver, decreasing the permanent borrowing capacity to $900.0 million, with a temporary reduction in credit availability to $750.0 million until we met a minimum consolidated EBITDA level of $75.0 million excluding (a) adjustments for cost savings, operating expense reductions and synergies, (b) EAC charges and other non-cash expenses, charges, and losses addbacks and (c) deducts to reverse EAC charges previously added back, in each case for a last twelve-month period. The temporary reduction in credit availability was removed as of the filing of our fiscal 2025 Q2 compliance certificate, and capacity returned to $900 million.</w:t>
      </w:r>
      <w:r>
        <w:rPr>
          <w:color w:val="000000"/>
        </w:rPr>
        <w:t xml:space="preserv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we did not have any additional borrowings or repayments. As of June 27, 2025, the Company was in compliance with all covenants and conditions under the Revolver. The borrowing capacity as defined under the Revolver as of June 27, 2025 is approximately $900.0 million, less outstanding borrowings of $591.5 million. See Note L in the accompanying consolidated financial statements for further discussion of the Revolver.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Receivables Purchase Agreement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September 27, 2022, we entered into an uncommitted receivables purchase agreement (“RPA”), pursuant to which we could offer to sell certain customer receivables, subject to the terms and conditions of the RPA. On August 13, 2024, we terminated the RPA in conjunction with entering into a new receivables purchase and service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2024, we entered into a $60.0 million committed receivables purchase and servicing agreement (“RPSA”) with a new party. The RPSA has an initial term of two years. Pursuant to the RPSA, the new party has committed to purchase receivables at a discount from a list of certain of our customers, maintaining a balance of purchased receivables at or below $60 million. We had $52.2 million of factored accounts receivable as of June 27, 2025 and incurred factoring fees of approximately $1.8 million in fiscal 2025. We had $33.8 million of factored accounts receivable as of June 28, 2024 and incurred factoring fees of approximately $1.9 million in fiscal 2024.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FLOWS</w:t>
      </w:r>
    </w:p>
    <w:tbl>
      <w:tblPr>
        <w:tblW w:w="6347" w:type="dxa"/>
        <w:jc w:val="left"/>
        <w:tblInd w:w="0" w:type="dxa"/>
        <w:tblLayout w:type="fixed"/>
        <w:tblCellMar>
          <w:top w:w="28" w:type="dxa"/>
          <w:left w:w="28" w:type="dxa"/>
          <w:bottom w:w="28" w:type="dxa"/>
          <w:right w:w="28" w:type="dxa"/>
        </w:tblCellMar>
      </w:tblPr>
      <w:tblGrid>
        <w:gridCol w:w="1252"/>
        <w:gridCol w:w="1105"/>
        <w:gridCol w:w="1108"/>
        <w:gridCol w:w="211"/>
        <w:gridCol w:w="826"/>
        <w:gridCol w:w="109"/>
        <w:gridCol w:w="109"/>
        <w:gridCol w:w="109"/>
        <w:gridCol w:w="109"/>
        <w:gridCol w:w="211"/>
        <w:gridCol w:w="826"/>
        <w:gridCol w:w="109"/>
        <w:gridCol w:w="109"/>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Fiscal Years Ended </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increased by $128.6 million during fiscal 2025 primarily as the result of $138.9 million provided by operating activities, $6.2 million of proceeds from sale of manufacturing operations to Cicor Group, $3.7 million of proceeds from employee stock plans, $2.7 million provided by the sale of our mc.com domain name, and $1.9 million provided by other investing activities. These inflows were partially offset by $19.8 million invested in purchases of property and equipment, $4.5 million of cash paid in the asset acquisition of Star Lab and $2.2 million of cash paid in deferred financing and offering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we had an inflow of $138.9 million in cash from operating activities compared to a $60.4 million inflow during fiscal 2024. The increase during fiscal 2025 was primarily due to a lower net loss of $99.7 million, higher inflow from deferred revenues and customer advances of $32.6 million, lower outflow from the benefit for deferred income taxes of $20.9 million, a higher inflow from other non-current assets of $8.1 million and an inflow from accounts payable, accrued expenses, and accrued compensation of $8.1 million, as compared to an outflow of $0.7 million due to accounts payable, accrued expenses, and accrued compensation in the prior period. This activity was partially offset by a lower inflow from accounts receivable, unbilled receivables, and costs in excess of billings of $46.5 million and a lower provision for bad debt of $14.4 million. Fiscal 2024 also included a $7.4 million inflow from the cash settlement for the termination of the interest rate swap.</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we invested $13.5 million, a decrease of $20.8 million, as compared to $34.3 million during fiscal 2024 primarily due to lower purchases of property and equipment of $14.5 million, the proceeds from the sale of manufacturing operations to Cicor Group of $6.2 million, $2.7 million provided by the sale of mc.com, and an inflow of $1.9 million provided by other investing activities, partially offset by $4.5 million of cash paid in the asset acquisition of Star Lab. </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we had $1.4 million in cash provided by financing activities, as compared to $82.7 million during fiscal 2024. During fiscal 2025, we made no borrowings or repayments on the Revolver, as compared to net borrowings of $80.0 million during fiscal 2024. Fiscal 2025 included $3.7 million of proceeds from employee stock plans, partially offset by $2.2 million of cash paid in deferred financing in conjunction with the amendment to our Revolver during the first quarter of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OMMITMENTS</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ONTRACTUAL</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our commitments and contractual obligations outstanding at June 27, 2025:</w:t>
      </w:r>
    </w:p>
    <w:tbl>
      <w:tblPr>
        <w:tblW w:w="8583" w:type="dxa"/>
        <w:jc w:val="left"/>
        <w:tblInd w:w="0" w:type="dxa"/>
        <w:tblLayout w:type="fixed"/>
        <w:tblCellMar>
          <w:top w:w="28" w:type="dxa"/>
          <w:left w:w="28" w:type="dxa"/>
          <w:bottom w:w="28" w:type="dxa"/>
          <w:right w:w="28" w:type="dxa"/>
        </w:tblCellMar>
      </w:tblPr>
      <w:tblGrid>
        <w:gridCol w:w="656"/>
        <w:gridCol w:w="579"/>
        <w:gridCol w:w="58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B and Note I to the consolidated financial statements for more information regarding our obligations under leases.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Purchase obligations represent open non-cancelable purchase commitments for certain inventory components and services used in normal operations. The purchase commitments covered by these agreements aggregated $206.4 million at June 27, 2025. A component of the sale of manufacturing operations to Cicor Group is a commitment to purchase $50.0 million of inventory from the Cicor Group over the next five years.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a liability at June 27, 2025 of $4.0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elect from time to time to purchase and subsequently retire shares of common stock in order to settle employees’ tax liabilities associated with vesting of a restricted stock award. These transactions would be treated as a use of cash in financing activities in our Consolidated Statements of Cash Flows.</w:t>
      </w:r>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FF</w:t>
      </w:r>
      <w:r>
        <w:rPr>
          <w:rFonts w:ascii="Times New Roman;serif" w:hAnsi="Times New Roman;serif"/>
          <w:b/>
          <w:color w:val="000000"/>
          <w:sz w:val="20"/>
        </w:rPr>
        <w:t>-B</w:t>
      </w:r>
      <w:r>
        <w:rPr>
          <w:rFonts w:ascii="Times New Roman;serif" w:hAnsi="Times New Roman;serif"/>
          <w:b/>
          <w:color w:val="000000"/>
          <w:sz w:val="16"/>
        </w:rPr>
        <w:t>ALANCE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HEET</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RRANGEMENTS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than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and 2024, we did not engage in any related party transactions.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our periodic communications, we discuss certain important measures that are not calculated according to U.S. generally accepted accounting principles (“GAAP”), including adjusted EBITDA, adjusted income (loss), adjusted earnings (loss) per share, and free cash flow.</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before other non-operating adjustments, interest income and expense, income taxes, depreciation, amortization of intangible assets, restructuring and other charges, impairment of long-lived assets, acquisition, financing and other third party costs, fair value adjustments from purchase accounting, litigation and settlement income and expense, COVID related expenses, and stock-based and other non-cash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portion of bonus compensation for executive officers and other key employees based on operating performance, evaluating short-term and long-term operating trends in our operations and allocating resources to various initiatives and operational requirements. We believe that adjusted EBITDA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information used by management in our financial and operational decision-making. We believe that trends in our adjusted EBITDA are valuable indicators of our operating performance.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our net loss, the most directly comparable GAAP financial measure, to our adjusted EBITDA: </w:t>
      </w:r>
    </w:p>
    <w:tbl>
      <w:tblPr>
        <w:tblW w:w="8967" w:type="dxa"/>
        <w:jc w:val="left"/>
        <w:tblInd w:w="0" w:type="dxa"/>
        <w:tblLayout w:type="fixed"/>
        <w:tblCellMar>
          <w:top w:w="28" w:type="dxa"/>
          <w:left w:w="28" w:type="dxa"/>
          <w:bottom w:w="28" w:type="dxa"/>
          <w:right w:w="28" w:type="dxa"/>
        </w:tblCellMar>
      </w:tblPr>
      <w:tblGrid>
        <w:gridCol w:w="1717"/>
        <w:gridCol w:w="1513"/>
        <w:gridCol w:w="1525"/>
        <w:gridCol w:w="211"/>
        <w:gridCol w:w="826"/>
        <w:gridCol w:w="109"/>
        <w:gridCol w:w="109"/>
        <w:gridCol w:w="109"/>
        <w:gridCol w:w="109"/>
        <w:gridCol w:w="211"/>
        <w:gridCol w:w="901"/>
        <w:gridCol w:w="109"/>
        <w:gridCol w:w="109"/>
        <w:gridCol w:w="109"/>
        <w:gridCol w:w="109"/>
        <w:gridCol w:w="211"/>
        <w:gridCol w:w="82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adjustments,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financing and other third party costs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from purchase accounting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COVID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and other non-cash compensation expense</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Restructuring and other charges for fiscal 2025 are related to management's decision to undertake certain actions to realign our cost structure through workforce reductions and the closure of certain facilities, businesses and lines of business. These charges are typically related to acquisitions and organizational redesign programs initiated as part of discrete post-acquisition integration activities. We believe these items are non-routine and may not be indicative of ongoing operating results.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Acquisition, financing and other third party costs for fiscal 2025 are related to costs associated with the sale of manufacturing operations to Cicor Group and financing costs.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Effective in the first quarter of fiscal 2023, the Company increased the rate of its matching contributions from 3% to 6% of participants' eligible annual compensation and changed the form of these contributions from cash to company stock. Fiscal 2023 also includes forfeitures of $6.8 million of stock-based compensation from the Company's former CEO's resignation.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These non-GAAP financial measures may not be computed in the same manner as similarly titled measures used by other companies. We use these measures along with the corresponding GAAP financial measures to manage our business and to evaluate our performance compared to prior periods and the marketplace. We define adjusted income as net income before other non-operating adjustments, amortization of intangible assets, restructuring and other charges, impairment of long-lived assets, acquisition, financing and other third party costs, fair value adjustments from purchase accounting, litigation and settlement income and expense, COVID related expenses,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income and adjusted EPS are non-GAAP financial measures and should not be considered in isolation or as a substitute for financial information provided in accordance with GAAP.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net loss and diluted loss per share, the most directly comparable GAAP financial measures, to adjusted income and adjusted EPS: </w:t>
      </w:r>
    </w:p>
    <w:tbl>
      <w:tblPr>
        <w:tblW w:w="10205" w:type="dxa"/>
        <w:jc w:val="left"/>
        <w:tblInd w:w="0" w:type="dxa"/>
        <w:tblLayout w:type="fixed"/>
        <w:tblCellMar>
          <w:top w:w="28" w:type="dxa"/>
          <w:left w:w="28" w:type="dxa"/>
          <w:bottom w:w="28" w:type="dxa"/>
          <w:right w:w="28" w:type="dxa"/>
        </w:tblCellMar>
      </w:tblPr>
      <w:tblGrid>
        <w:gridCol w:w="1219"/>
        <w:gridCol w:w="698"/>
        <w:gridCol w:w="703"/>
        <w:gridCol w:w="211"/>
        <w:gridCol w:w="751"/>
        <w:gridCol w:w="109"/>
        <w:gridCol w:w="109"/>
        <w:gridCol w:w="109"/>
        <w:gridCol w:w="109"/>
        <w:gridCol w:w="211"/>
        <w:gridCol w:w="541"/>
        <w:gridCol w:w="109"/>
        <w:gridCol w:w="109"/>
        <w:gridCol w:w="109"/>
        <w:gridCol w:w="109"/>
        <w:gridCol w:w="211"/>
        <w:gridCol w:w="856"/>
        <w:gridCol w:w="109"/>
        <w:gridCol w:w="109"/>
        <w:gridCol w:w="109"/>
        <w:gridCol w:w="109"/>
        <w:gridCol w:w="211"/>
        <w:gridCol w:w="541"/>
        <w:gridCol w:w="109"/>
        <w:gridCol w:w="109"/>
        <w:gridCol w:w="109"/>
        <w:gridCol w:w="109"/>
        <w:gridCol w:w="211"/>
        <w:gridCol w:w="751"/>
        <w:gridCol w:w="109"/>
        <w:gridCol w:w="109"/>
        <w:gridCol w:w="109"/>
        <w:gridCol w:w="109"/>
        <w:gridCol w:w="211"/>
        <w:gridCol w:w="541"/>
        <w:gridCol w:w="158"/>
      </w:tblGrid>
      <w:tr>
        <w:trPr/>
        <w:tc>
          <w:tcPr>
            <w:tcW w:w="121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diluted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non-operating adjustments,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Impairment of long-lived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financing and other third party costs</w:t>
            </w:r>
            <w:r>
              <w:rPr>
                <w:rFonts w:ascii="Times New Roman;serif" w:hAnsi="Times New Roman;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from purchase accounting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and settlement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COVID related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Stock-based and other non-cash compensation expense</w:t>
            </w:r>
            <w:r>
              <w:rPr>
                <w:rFonts w:ascii="Times New Roman;serif" w:hAnsi="Times New Roman;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Impact to income taxes</w:t>
            </w:r>
            <w:r>
              <w:rPr>
                <w:rFonts w:ascii="Times New Roman;serif" w:hAnsi="Times New Roman;serif"/>
                <w:b w:val="false"/>
                <w:color w:val="000000"/>
                <w:sz w:val="13"/>
              </w:rPr>
              <w:t>(4)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(loss) and adjusted diluted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56,874 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Restructuring and other charges for fiscal 2025 are related to management's decision to undertake certain actions to realign our cost structure through workforce reductions and the closure of certain facilities, businesses and lines of business. These charges are typically related to acquisitions and organizational redesign programs initiated as part of discrete post-acquisition integration activities. We believe these items are non-routine and may not be indicative of ongoing operating results.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Acquisition, financing and other third party costs for fiscal 2025 are related to costs associated with the sale of manufacturing operations to Cicor Group and financing costs.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Effective in the first quarter of fiscal 2023, the Company increased the rate of its matching contributions from 3% to 6% of participants' eligible annual compensation and changed the form of these contributions from cash to company stock. Fiscal 2023 also includes forfeitures of $6.8 million of stock-based compensation from the Company's former CEO's resignation.</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(4) 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can be valuable indicators of our operating performance and liquidity.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cash provided by (used in) operating activities, the most directly comparable GAAP financial measure, to free cash flow:</w:t>
      </w:r>
    </w:p>
    <w:tbl>
      <w:tblPr>
        <w:tblW w:w="8962" w:type="dxa"/>
        <w:jc w:val="left"/>
        <w:tblInd w:w="0" w:type="dxa"/>
        <w:tblLayout w:type="fixed"/>
        <w:tblCellMar>
          <w:top w:w="28" w:type="dxa"/>
          <w:left w:w="28" w:type="dxa"/>
          <w:bottom w:w="28" w:type="dxa"/>
          <w:right w:w="28" w:type="dxa"/>
        </w:tblCellMar>
      </w:tblPr>
      <w:tblGrid>
        <w:gridCol w:w="1523"/>
        <w:gridCol w:w="1344"/>
        <w:gridCol w:w="1348"/>
        <w:gridCol w:w="211"/>
        <w:gridCol w:w="826"/>
        <w:gridCol w:w="109"/>
        <w:gridCol w:w="109"/>
        <w:gridCol w:w="109"/>
        <w:gridCol w:w="109"/>
        <w:gridCol w:w="228"/>
        <w:gridCol w:w="779"/>
        <w:gridCol w:w="117"/>
        <w:gridCol w:w="109"/>
        <w:gridCol w:w="109"/>
        <w:gridCol w:w="109"/>
        <w:gridCol w:w="212"/>
        <w:gridCol w:w="803"/>
        <w:gridCol w:w="109"/>
        <w:gridCol w:w="109"/>
        <w:gridCol w:w="109"/>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pStyle w:val="TextBody"/>
        <w:bidi w:val="0"/>
        <w:spacing w:lineRule="auto" w:line="288" w:before="180" w:after="283"/>
        <w:jc w:val="both"/>
        <w:rPr/>
      </w:pPr>
      <w:r>
        <w:rPr>
          <w:rFonts w:ascii="Times New Roman;serif" w:hAnsi="Times New Roman;serif"/>
          <w:b w:val="false"/>
          <w:i/>
          <w:color w:val="000000"/>
          <w:sz w:val="20"/>
        </w:rPr>
        <w:t>R</w:t>
      </w:r>
      <w:r>
        <w:rPr>
          <w:rFonts w:ascii="Times New Roman;serif" w:hAnsi="Times New Roman;serif"/>
          <w:b w:val="false"/>
          <w:i/>
          <w:color w:val="000000"/>
          <w:sz w:val="16"/>
        </w:rPr>
        <w:t>EVENUE</w:t>
      </w:r>
      <w:r>
        <w:rPr>
          <w:color w:val="000000"/>
        </w:rPr>
        <w:t xml:space="preserve"> </w:t>
      </w:r>
      <w:r>
        <w:rPr>
          <w:rFonts w:ascii="Times New Roman;serif" w:hAnsi="Times New Roman;serif"/>
          <w:b w:val="false"/>
          <w:i/>
          <w:color w:val="000000"/>
          <w:sz w:val="20"/>
        </w:rPr>
        <w:t>R</w:t>
      </w:r>
      <w:r>
        <w:rPr>
          <w:rFonts w:ascii="Times New Roman;serif" w:hAnsi="Times New Roman;serif"/>
          <w:b w:val="false"/>
          <w:i/>
          <w:color w:val="000000"/>
          <w:sz w:val="16"/>
        </w:rPr>
        <w:t>ECOGNITION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at a point in time or over time as the performance obligations are met. A performance obligation is a promise in a contract to transfer a distinct good or service to the customer. Contracts with distinct performance obligations recognized at a point in time, with or without an allocation of the transaction price, totaled 53% and 45% of revenues for the fiscal years ended June 27, 2025 and June 28, 2024, respectively. Total revenue recognized under contracts over time was 47% and 55% of revenues for the fiscal years ended June 27, 2025 and June 28, 2024,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recognized at a point in time generally relates to contracts that include a combination of components, modules and sub-assemblies, integrated subsystems and related system integration or other services. Revenue is recognized at a point in time for these products and services (versus over time recognition) due to the following: (i) customers are only able to consume the benefits provided by us upon completion of the product or service; (ii) customers do not control the product or service prior to completion; and (iii) we do not have an enforceable right to payment at all times for performance completed to date. Accordingly, there is little judgment in determining when control of the good or service transfers to the customer, and revenue is recognized upon shipment (for goods) or completion (for services).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transaction price is allocated to each performance obligation using the standalone selling price of each distinct good or service in the contract. Standalone selling prices of our goods and services are generally not directly observable. Accordingly, the primary method used to estimate standalone selling price is the expected cost plus a margin approach, under which we forecast the expected costs of satisfying a performance obligation and then add an appropriate margin for that distinct good or service. The objective of the expected cost plus a margin approach is to determine the price at which we would transact if the product or service were sold by us on a standalone basis. Our determination of the expected cost plus a margin approach involves the consideration of several factors based on the specific facts and circumstances of each contract. Specifically, we consider the cost to produce the deliverable, the anticipated margin on that deliverable, the selling price and profit margin for similar parts, our ongoing pricing strategy and policies, often based on the price list established and updated by management on a regular basis, the value of any enhancements that have been built into the deliverable and the characteristics of the varying markets in which the deliverable is sold.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over time (versus point in time recognition) for long-term contracts with development, production and service activities where the performance obligations are satisfied over time. These over time contracts involve the design, development, manufacture, or modification of complex modules and sub-assemblies or integrated subsystems and related services. Revenue is recognized over time, given: (i) our performance creates or enhances an asset that the customer controls as the asset is created or enhanced; or (ii) our performance creates an asset with no alternative use to us and (iii) we have an enforceable right to payment for performance completed to date. We consider the nature of these contracts and the types of products and services provided when determining the proper accounting for a particular contract. These contracts include both fixed-price and cost reimbursable contracts. Our cost reimbursable contracts typically include cost-plus fixed fee and time and material (“T&amp;M”) contracts. We consider whether contracts should be combined or segmented, and based on this assessment, we combine closely related contracts when all the applicable criteria are met. The combination of two or more contracts requires judgment in determining whether the intent of entering into the contracts was effectively to enter into a single contract, which should be combined to reflect an overall profit rate. Similarly, we may separate an arrangement, which may consist of a single contract or group of contracts, with varying rates of profitability, only if the applicable criteria are met. Judgment also is involved in determining whether a single contract or group of contracts may be segmented based on how the arrangement and the related performance criteria were negotiated. The decision to combine a group of contracts or segment a contract could change the amount of revenue and gross profit recorded in a given period. For all types of contracts, we recognize anticipated contract losses as soon as they become known and estimable. These losses are recognized in advance of contract performance and as of June 27, 2025, approximately $4.5 million of these costs were in Accrued expenses on our Consolidated Balance Sheet.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over time contracts, we typically leverage the input method, using a cost-to-cost measure of progress. We believe that this method represents the most faithful depiction of our performance because it directly measures value transferred to the customer. Contract estimates and estimates of any variable consideration are based on various assumptions to project the outcome of future events that may span several years. These assumptions include: the amount of time to complete the contract, including the assessment of the nature and complexity of the work to be performed; the cost and availability of materials; the availability of subcontractor services and materials; and the availability and timing of funding from the customer. We bear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risk of changes in estimates to complete on a fixed-price contract which may cause profit levels to vary from period to period. For cost reimbursable contracts, we are reimbursed periodically for allowable costs and are paid a portion of the fee based on contract progress. In the limited instances where we enter into T&amp;M contracts, revenue recognized reflects the number of direct labor hours expended in the performance of a contract multiplied by the contract billing rate, as well as reimbursement of other direct billable costs. For T&amp;M contracts, we elected to use a practical expedient permitted by ASC 606 whereby revenue is recognized in the amount for which we have a right to invoice the customer based on the control transferred to the customer. For over time contracts, we recognize anticipated contract losses as soon as they become known and estimable.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contracts recognized over time requires significant judgment relative to estimating total contract revenues and costs, in particular, assumptions relative to the amount of time to complete the contract, including the assessment of the nature and complexity of the work to be performed. Our estimates are based upon the professional knowledge and experience of our engineers, program managers and other personnel, who review each over time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do not provide our customers with rights of product return other than those related to assurance warranty provisions that permit repair or replacement of defective goods over a period of 12 to 36 months. We accrue for anticipated warranty costs upon product shipment. We do not consider activities related to such assurance warranties, if any, to be a separate performance obligation. We offer separately priced extended warranties which generally range from 12 to 36 months that are treated as separate performance obligations. The transaction price allocated to extended warranties is recognized over time in proportion to the costs expected to be incurred in satisfying the obligations under the contract.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over time contracts, the portion of the payments retained by the customer is not considered a significant financing component because most contracts have a duration of less than one year and payment is received as progress is made. Many of our over time contracts have milestone payments, which align the payment schedule with the progress towards completion on the performance obligation. On some contracts, we may be entitled to receive an advance payment, which is not considered a significant financing component because it is used to facilitate inventory demands at the onset of a contract and to safeguard us from the failure of the other party to abide by some or all of their obligations under the contract.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are less than 10 percent of total revenues.</w:t>
      </w:r>
    </w:p>
    <w:p>
      <w:pPr>
        <w:pStyle w:val="TextBody"/>
        <w:bidi w:val="0"/>
        <w:spacing w:lineRule="auto" w:line="288" w:before="180" w:after="283"/>
        <w:jc w:val="both"/>
        <w:rPr/>
      </w:pPr>
      <w:r>
        <w:rPr>
          <w:rFonts w:ascii="Times New Roman;serif" w:hAnsi="Times New Roman;serif"/>
          <w:b w:val="false"/>
          <w:i/>
          <w:color w:val="000000"/>
          <w:sz w:val="20"/>
        </w:rPr>
        <w:t>I</w:t>
      </w:r>
      <w:r>
        <w:rPr>
          <w:rFonts w:ascii="Times New Roman;serif" w:hAnsi="Times New Roman;serif"/>
          <w:b w:val="false"/>
          <w:i/>
          <w:color w:val="000000"/>
          <w:sz w:val="16"/>
        </w:rPr>
        <w:t>NVENTORY</w:t>
      </w:r>
      <w:r>
        <w:rPr>
          <w:color w:val="000000"/>
        </w:rPr>
        <w:t xml:space="preserve"> </w:t>
      </w:r>
      <w:r>
        <w:rPr>
          <w:rFonts w:ascii="Times New Roman;serif" w:hAnsi="Times New Roman;serif"/>
          <w:b w:val="false"/>
          <w:i/>
          <w:color w:val="000000"/>
          <w:sz w:val="20"/>
        </w:rPr>
        <w:t>V</w:t>
      </w:r>
      <w:r>
        <w:rPr>
          <w:rFonts w:ascii="Times New Roman;serif" w:hAnsi="Times New Roman;serif"/>
          <w:b w:val="false"/>
          <w:i/>
          <w:color w:val="000000"/>
          <w:sz w:val="16"/>
        </w:rPr>
        <w:t>ALUATION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value our inventory at the lower of cost (first-in, first-out) or its net realizable value. We write down inventory for excess and obsolescence based upon assumptions about future demand, product mix and possible alternative uses. Actual demand, product mix and alternative usage may be higher or lower resulting in variations in on our gross margin. </w:t>
      </w:r>
    </w:p>
    <w:p>
      <w:pPr>
        <w:pStyle w:val="TextBody"/>
        <w:bidi w:val="0"/>
        <w:spacing w:lineRule="auto" w:line="288" w:before="180" w:after="283"/>
        <w:jc w:val="both"/>
        <w:rPr/>
      </w:pPr>
      <w:r>
        <w:rPr>
          <w:rFonts w:ascii="Times New Roman;serif" w:hAnsi="Times New Roman;serif"/>
          <w:b w:val="false"/>
          <w:i/>
          <w:color w:val="000000"/>
          <w:sz w:val="20"/>
        </w:rPr>
        <w:t>G</w:t>
      </w:r>
      <w:r>
        <w:rPr>
          <w:rFonts w:ascii="Times New Roman;serif" w:hAnsi="Times New Roman;serif"/>
          <w:b w:val="false"/>
          <w:i/>
          <w:color w:val="000000"/>
          <w:sz w:val="16"/>
        </w:rPr>
        <w:t>OODWILL</w:t>
      </w:r>
      <w:r>
        <w:rPr>
          <w:rFonts w:ascii="Times New Roman;serif" w:hAnsi="Times New Roman;serif"/>
          <w:b w:val="false"/>
          <w:i/>
          <w:color w:val="000000"/>
          <w:sz w:val="20"/>
        </w:rPr>
        <w:t>, I</w:t>
      </w:r>
      <w:r>
        <w:rPr>
          <w:rFonts w:ascii="Times New Roman;serif" w:hAnsi="Times New Roman;serif"/>
          <w:b w:val="false"/>
          <w:i/>
          <w:color w:val="000000"/>
          <w:sz w:val="16"/>
        </w:rPr>
        <w:t>NTANGIBLE</w:t>
      </w:r>
      <w:r>
        <w:rPr>
          <w:color w:val="000000"/>
        </w:rPr>
        <w:t xml:space="preserve"> </w:t>
      </w:r>
      <w:r>
        <w:rPr>
          <w:rFonts w:ascii="Times New Roman;serif" w:hAnsi="Times New Roman;serif"/>
          <w:b w:val="false"/>
          <w:i/>
          <w:color w:val="000000"/>
          <w:sz w:val="20"/>
        </w:rPr>
        <w:t>A</w:t>
      </w:r>
      <w:r>
        <w:rPr>
          <w:rFonts w:ascii="Times New Roman;serif" w:hAnsi="Times New Roman;serif"/>
          <w:b w:val="false"/>
          <w:i/>
          <w:color w:val="000000"/>
          <w:sz w:val="16"/>
        </w:rPr>
        <w:t>SSETS</w:t>
      </w:r>
      <w:r>
        <w:rPr>
          <w:color w:val="000000"/>
        </w:rPr>
        <w:t xml:space="preserve"> </w:t>
      </w:r>
      <w:r>
        <w:rPr>
          <w:rFonts w:ascii="Times New Roman;serif" w:hAnsi="Times New Roman;serif"/>
          <w:b w:val="false"/>
          <w:i/>
          <w:color w:val="000000"/>
          <w:sz w:val="16"/>
        </w:rPr>
        <w:t>AND</w:t>
      </w:r>
      <w:r>
        <w:rPr>
          <w:color w:val="000000"/>
        </w:rPr>
        <w:t xml:space="preserve"> </w:t>
      </w:r>
      <w:r>
        <w:rPr>
          <w:rFonts w:ascii="Times New Roman;serif" w:hAnsi="Times New Roman;serif"/>
          <w:b w:val="false"/>
          <w:i/>
          <w:color w:val="000000"/>
          <w:sz w:val="20"/>
        </w:rPr>
        <w:t>L</w:t>
      </w:r>
      <w:r>
        <w:rPr>
          <w:rFonts w:ascii="Times New Roman;serif" w:hAnsi="Times New Roman;serif"/>
          <w:b w:val="false"/>
          <w:i/>
          <w:color w:val="000000"/>
          <w:sz w:val="16"/>
        </w:rPr>
        <w:t>ONG</w:t>
      </w:r>
      <w:r>
        <w:rPr>
          <w:rFonts w:ascii="Times New Roman;serif" w:hAnsi="Times New Roman;serif"/>
          <w:b w:val="false"/>
          <w:i/>
          <w:color w:val="000000"/>
          <w:sz w:val="20"/>
        </w:rPr>
        <w:t>-</w:t>
      </w:r>
      <w:r>
        <w:rPr>
          <w:rFonts w:ascii="Times New Roman;serif" w:hAnsi="Times New Roman;serif"/>
          <w:b w:val="false"/>
          <w:i/>
          <w:color w:val="000000"/>
          <w:sz w:val="16"/>
        </w:rPr>
        <w:t>LIVED</w:t>
      </w:r>
      <w:r>
        <w:rPr>
          <w:color w:val="000000"/>
        </w:rPr>
        <w:t xml:space="preserve"> </w:t>
      </w:r>
      <w:r>
        <w:rPr>
          <w:rFonts w:ascii="Times New Roman;serif" w:hAnsi="Times New Roman;serif"/>
          <w:b w:val="false"/>
          <w:i/>
          <w:color w:val="000000"/>
          <w:sz w:val="20"/>
        </w:rPr>
        <w:t>A</w:t>
      </w:r>
      <w:r>
        <w:rPr>
          <w:rFonts w:ascii="Times New Roman;serif" w:hAnsi="Times New Roman;serif"/>
          <w:b w:val="false"/>
          <w:i/>
          <w:color w:val="000000"/>
          <w:sz w:val="16"/>
        </w:rPr>
        <w:t>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goodwill for impairment annually in the fourth quarter and in any interim period in which events or circumstances arise that indicate our goodwill may be impaired.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our operating environment, industry and other market considerations, entity-specific events related to financial performance or loss of key personnel, and other events that could impact the reporting unit. If we conclude that further testing is required, the impairment test is completed. Step one compares the fair value of the reporting unit with its carrying value, including goodwill. If the carrying amount of a reporting unit exceeds the reporting unit’s fair value, the amount by which the carrying value exceeds the fair value is recognized as an impairment loss. We estimate the fair value of our reporting units using the income approach based upon a discounted cash flow ("DCF") model. The income approach requires the use of many assumptions and estimates including future revenues, expenses, capital expenditures, and working capital, as well as discount factors and income tax rates. The discount rates used in the DCF model were based on a weighted-average cost of capital (“WACC”) determined from relevant market comparisons, adjusted upward for specific reporting unit risks (primarily the uncertainty of achieving projected operating cash flows). A terminal value growth rate was applied to the final year of the projected period, which reflects our estimate of stable, perpetual growth. We then calculated a present value of the respective cash flows for each reporting unit to arrive at an estimate of fair value under the income approach. Finally,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compared the estimates of our fair values to our total market capitalization to assess the reasonableness of our reporting units’ combined determined fair value.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Key assumptions of the forecast model over expected revenues, expenses, capital expenditures, and working capital, as well as discount factors and income tax rates are subject to a high degree of judgement and complexity. We make every effort to forecast future financial performance as accurately as possible with the information available at the time the forecast is developed. These assumptions were reviewed by management and compared to assumptions used in prior analyses and were deemed reasonable. There were no material changes in the key assumptions during the periods presented.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are inherent uncertainties and management judgement required in these determinations and risks to the forecast included but are not limited to program/product execution, transition from development to production programs, industry related make-buy decisions, and global market conditions. Changes in these estimates and assumptions could materially affect the results of our tests for goodwill impairment. We continuously monitor and evaluate relevant events and circumstances that could unfavorably impact our significant assumptions used in testing goodwill, including macroeconomic conditions, industry and market considerations, financial performance and expectations of projected financial performance and cash flows, and changes in our stock price in relation to the carrying value of its reporting units, among other relevant factors. It is possible that future changes in such circumstances, or in the inputs and assumptions used in estimating the fair value of our reporting units, could require us to perform an interim impairment assessment and record an impairment charge. In addition, we use the market approach, which compares the reporting unit to publicly traded companies and transactions involving similar businesses, to support the conclusions of the income approach.</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utilizes the management approach for determining its operating segment in accordance with ASC 280. There has been no change to the Company's conclusion of one operating and reportable segment in fiscal 2025.</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accordance with FASB ASC 350, </w:t>
      </w:r>
      <w:r>
        <w:rPr>
          <w:rFonts w:ascii="Times New Roman;serif" w:hAnsi="Times New Roman;serif"/>
          <w:b w:val="false"/>
          <w:i/>
          <w:color w:val="000000"/>
          <w:sz w:val="20"/>
        </w:rPr>
        <w:t>Intangibles-Goodwill and Other</w:t>
      </w:r>
      <w:r>
        <w:rPr>
          <w:color w:val="000000"/>
        </w:rPr>
        <w:t xml:space="preserve"> </w:t>
      </w:r>
      <w:r>
        <w:rPr>
          <w:rFonts w:ascii="Times New Roman;serif" w:hAnsi="Times New Roman;serif"/>
          <w:b w:val="false"/>
          <w:color w:val="000000"/>
          <w:sz w:val="20"/>
        </w:rPr>
        <w:t xml:space="preserve">(“ASC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across two divisions: Microelectronics, and Mission Systems. Accordingly, these were determined to be the Company's reporting units.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annual goodwill impairment testing, we utilized a discount rate for each of our reporting units, as defined by ASC 350, that we believe represents the risks that our businesses face, considering their sizes, the current economic environment, and other industry data we believe is appropriate. The discount rates for Microelectronics and Mission Systems were 9.5%, and 9.0%, respectively. The annual testing indicated that the fair values of our Microelectronics and Mission Systems reporting unit had an estimated fair value substantially in excess of their carrying values, and thus no further testing was required.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also review finite-lived intangible assets and long-lived assets when indications of potential impairment exist, such as a significant reduction in undiscounted cash flows associated with the assets. Should the fair value of our finite-lived intangible assets or long-lived assets decline because of reduced operating performance, market declines, or other indicators of impairment, a charge to operations for impairment may be necessary. </w:t>
      </w:r>
    </w:p>
    <w:p>
      <w:pPr>
        <w:pStyle w:val="TextBody"/>
        <w:bidi w:val="0"/>
        <w:spacing w:lineRule="auto" w:line="288" w:before="100" w:after="283"/>
        <w:jc w:val="both"/>
        <w:rPr/>
      </w:pPr>
      <w:r>
        <w:rPr>
          <w:rFonts w:ascii="Times New Roman;serif" w:hAnsi="Times New Roman;serif"/>
          <w:b w:val="false"/>
          <w:i/>
          <w:color w:val="000000"/>
          <w:sz w:val="20"/>
        </w:rPr>
        <w:t>I</w:t>
      </w:r>
      <w:r>
        <w:rPr>
          <w:rFonts w:ascii="Times New Roman;serif" w:hAnsi="Times New Roman;serif"/>
          <w:b w:val="false"/>
          <w:i/>
          <w:color w:val="000000"/>
          <w:sz w:val="16"/>
        </w:rPr>
        <w:t>NCOME</w:t>
      </w:r>
      <w:r>
        <w:rPr>
          <w:color w:val="000000"/>
        </w:rPr>
        <w:t xml:space="preserve"> </w:t>
      </w:r>
      <w:r>
        <w:rPr>
          <w:rFonts w:ascii="Times New Roman;serif" w:hAnsi="Times New Roman;serif"/>
          <w:b w:val="false"/>
          <w:i/>
          <w:color w:val="000000"/>
          <w:sz w:val="20"/>
        </w:rPr>
        <w:t>T</w:t>
      </w:r>
      <w:r>
        <w:rPr>
          <w:rFonts w:ascii="Times New Roman;serif" w:hAnsi="Times New Roman;serif"/>
          <w:b w:val="false"/>
          <w:i/>
          <w:color w:val="000000"/>
          <w:sz w:val="16"/>
        </w:rPr>
        <w: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evaluating our ability to recover deferred tax assets, we consider all available positive and negative evidence, including our past operating results, our forecast of future earnings, future taxable income and tax planning strategies. The assumptions utilized in determining future taxable income require significant judgment. We record a valuation allowance against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ultimate settlement. We reevaluate our uncertain tax positions on a quarterly basis and any changes to these positions as a result of tax audits, tax laws or other facts and circumstances could result in additional charges to operations.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B to consolidated financial statements (under the caption “Recently Issued Accounting Pronouncements”).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B to consolidated financial statements (under the caption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7A.QUANTITATIVE AND QUALITATIVE DISCLOSURES ABOUT MARKET RISK</w:t>
      </w:r>
    </w:p>
    <w:p>
      <w:pPr>
        <w:pStyle w:val="TextBody"/>
        <w:bidi w:val="0"/>
        <w:spacing w:lineRule="auto" w:line="288" w:before="180" w:after="283"/>
        <w:jc w:val="left"/>
        <w:rPr/>
      </w:pPr>
      <w:r>
        <w:rPr>
          <w:rFonts w:ascii="Times New Roman;serif" w:hAnsi="Times New Roman;serif"/>
          <w:b/>
          <w:color w:val="000000"/>
          <w:sz w:val="20"/>
        </w:rPr>
        <w:t>I</w:t>
      </w:r>
      <w:r>
        <w:rPr>
          <w:rFonts w:ascii="Times New Roman;serif" w:hAnsi="Times New Roman;serif"/>
          <w:b/>
          <w:color w:val="000000"/>
          <w:sz w:val="16"/>
        </w:rPr>
        <w:t>NTEREST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ATE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interest rate risk is related primarily to our investment portfolio and the Revolver.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also are exposed to the impact of interest rate changes primarily through our borrowing activities. For our variable rate borrowings, we may use a fixed interest rate swap, effectively converting a portion of variable rate borrowings to fixed rate borrowings in order to mitigate the impact of interest rate changes on earnings. We utilize interest rate derivatives to mitigate interest rate exposure with respect to our financing arrangements. There were $591.5 million of outstanding borrowings against the Revolver at June 27, 2025. </w:t>
      </w:r>
    </w:p>
    <w:p>
      <w:pPr>
        <w:pStyle w:val="TextBody"/>
        <w:bidi w:val="0"/>
        <w:spacing w:lineRule="auto" w:line="288" w:before="180" w:after="283"/>
        <w:jc w:val="left"/>
        <w:rPr/>
      </w:pPr>
      <w:r>
        <w:rPr>
          <w:rFonts w:ascii="Times New Roman;serif" w:hAnsi="Times New Roman;serif"/>
          <w:b/>
          <w:color w:val="000000"/>
          <w:sz w:val="20"/>
        </w:rPr>
        <w:t>C</w:t>
      </w:r>
      <w:r>
        <w:rPr>
          <w:rFonts w:ascii="Times New Roman;serif" w:hAnsi="Times New Roman;serif"/>
          <w:b/>
          <w:color w:val="000000"/>
          <w:sz w:val="16"/>
        </w:rPr>
        <w:t>ONCENTRATION</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REDIT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cash equivalents, accounts receivable, unbilled receivables and costs in excess of billings. We place our cash and cash equivalents with financial institutions with high credit quality. As of June 27, 2025 and June 28, 2024, we had $309.1 million and $180.5 million, respectively, of cash and cash equivalents on deposit or invested with our financial and lending institutions.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provide credit to customers in the normal course of business. We perform ongoing credit evaluations of our customers’ financial condition and limit the amount of credit extended when deemed necessary. As of June 27, 2025, five customers accounted for 48% of our receivables, unbilled receivables and costs in excess of billings. As of June 28, 2024, five customers accounted for 51% of our receivables, unbilled receivables and costs in excess of billings.</w:t>
      </w: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URRENCY</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operate primarily in the United States; however, we conduct business outside the United States through our foreign subsidiaries in Switzerland, the United Kingdom and Spain where business is largely transacted in non-U.S. dollar currencies. Accordingly, we are subject to exposure from adverse movements in the exchange rates of local currencies. Local currencies are used as the functional currency for our non-U.S. subsidiaries. Consequently, changes in the exchange rates of the currencies may impact the translation of the foreign subsidiaries’ statements of operations into U.S. dollars, which may in turn affect our Consolidated Statement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R</w:t>
      </w:r>
      <w:r>
        <w:rPr>
          <w:rFonts w:ascii="Times New Roman;serif" w:hAnsi="Times New Roman;serif"/>
          <w:b/>
          <w:color w:val="000000"/>
          <w:sz w:val="16"/>
        </w:rPr>
        <w:t>EPORT</w:t>
      </w:r>
      <w:r>
        <w:rPr>
          <w:color w:val="000000"/>
        </w:rPr>
        <w:t> </w:t>
      </w:r>
      <w:r>
        <w:rPr>
          <w:rFonts w:ascii="Times New Roman;serif" w:hAnsi="Times New Roman;serif"/>
          <w:b/>
          <w:color w:val="000000"/>
          <w:sz w:val="16"/>
        </w:rPr>
        <w:t>OF</w:t>
      </w:r>
      <w:r>
        <w:rPr>
          <w:color w:val="000000"/>
        </w:rPr>
        <w:t> </w:t>
      </w:r>
      <w:r>
        <w:rPr>
          <w:rFonts w:ascii="Times New Roman;serif" w:hAnsi="Times New Roman;serif"/>
          <w:b/>
          <w:color w:val="000000"/>
          <w:sz w:val="20"/>
        </w:rPr>
        <w:t>I</w:t>
      </w:r>
      <w:r>
        <w:rPr>
          <w:rFonts w:ascii="Times New Roman;serif" w:hAnsi="Times New Roman;serif"/>
          <w:b/>
          <w:color w:val="000000"/>
          <w:sz w:val="16"/>
        </w:rPr>
        <w:t>NDEPENDENT</w:t>
      </w:r>
      <w:r>
        <w:rPr>
          <w:color w:val="000000"/>
        </w:rPr>
        <w:t> </w:t>
      </w:r>
      <w:r>
        <w:rPr>
          <w:rFonts w:ascii="Times New Roman;serif" w:hAnsi="Times New Roman;serif"/>
          <w:b/>
          <w:color w:val="000000"/>
          <w:sz w:val="20"/>
        </w:rPr>
        <w:t>R</w:t>
      </w:r>
      <w:r>
        <w:rPr>
          <w:rFonts w:ascii="Times New Roman;serif" w:hAnsi="Times New Roman;serif"/>
          <w:b/>
          <w:color w:val="000000"/>
          <w:sz w:val="16"/>
        </w:rPr>
        <w:t>EGISTERED</w:t>
      </w:r>
      <w:r>
        <w:rPr>
          <w:color w:val="000000"/>
        </w:rPr>
        <w:t> </w:t>
      </w:r>
      <w:r>
        <w:rPr>
          <w:rFonts w:ascii="Times New Roman;serif" w:hAnsi="Times New Roman;serif"/>
          <w:b/>
          <w:color w:val="000000"/>
          <w:sz w:val="20"/>
        </w:rPr>
        <w:t>P</w:t>
      </w:r>
      <w:r>
        <w:rPr>
          <w:rFonts w:ascii="Times New Roman;serif" w:hAnsi="Times New Roman;serif"/>
          <w:b/>
          <w:color w:val="000000"/>
          <w:sz w:val="16"/>
        </w:rPr>
        <w:t>UBLIC</w:t>
      </w:r>
      <w:r>
        <w:rPr>
          <w:color w:val="000000"/>
        </w:rPr>
        <w:t>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w:t>
      </w:r>
      <w:r>
        <w:rPr>
          <w:rFonts w:ascii="Times New Roman;serif" w:hAnsi="Times New Roman;serif"/>
          <w:b/>
          <w:color w:val="000000"/>
          <w:sz w:val="20"/>
        </w:rPr>
        <w:t>F</w:t>
      </w:r>
      <w:r>
        <w:rPr>
          <w:rFonts w:ascii="Times New Roman;serif" w:hAnsi="Times New Roman;serif"/>
          <w:b/>
          <w:color w:val="000000"/>
          <w:sz w:val="16"/>
        </w:rPr>
        <w:t>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Mercury Systems, Inc. and subsidiaries (the Company) as of June 27, 2025 and June 28, 2024, the related consolidated statements of operations and comprehensive loss, shareholders’ equity, and cash flows for each of the years in the three-year period ended June 27, 2025, and the related notes and financial statement schedule II - valuation and qualifying accounts (collectively, the consolidated financial statements). We also have audited the Company’s internal control over financial reporting as of June 27, 2025, based on criteria established in Internal Control – Integrated Framework (2013) issued by the Committee of Sponsoring Organizations of the Treadway Commission.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June 27, 2025 and June 28, 2024, and the results of its operations and its cash flows for each of the years in the three-year period ended June 27, 2025, in conformity with U.S. generally accepted accounting principles. Also in our opinion, the Company maintained, in all material respects, effective internal control over financial reporting as of June 27, 2025 based on criteria established in Internal Control – Integrated Framework (2013) issued by the Committee of Sponsoring Organizations of the Treadway Commission.</w:t>
      </w:r>
    </w:p>
    <w:p>
      <w:pPr>
        <w:pStyle w:val="TextBody"/>
        <w:bidi w:val="0"/>
        <w:spacing w:lineRule="auto" w:line="288" w:before="60" w:after="283"/>
        <w:jc w:val="both"/>
        <w:rPr/>
      </w:pPr>
      <w:r>
        <w:rPr>
          <w:rFonts w:ascii="Times New Roman;serif" w:hAnsi="Times New Roman;serif"/>
          <w:b w:val="false"/>
          <w:i/>
          <w:color w:val="000000"/>
          <w:sz w:val="20"/>
        </w:rPr>
        <w:t>Basis for Opinions</w:t>
      </w:r>
      <w:r>
        <w:rPr>
          <w:color w:val="00000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Definition and Limitations of Internal Control Over Financial Reporting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Estimate of total contract costs to be incurred for certain fixed price contract revenue recognized over time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B to the consolidated financial statements, revenue recognized over time for the year ended June 27, 2025 represented 47% of total revenues. For contracts where revenue is recognized over time under fixed price arrangements, the Company recognizes revenue based on the ratio of (1) actual contract costs incurred to date to (2) the Company’s estimate of total contract costs to be incurred.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total contract costs to be incurred for certain fixed price contract revenue recognized over time as a critical audit matter given the complex nature of the Company’s products sold under such contracts. In particular, evaluating the Company’s judgments regarding the amount of time to complete the contracts, including the assessment of the nature and complexity of the work to be performed, involved a high degree of subjective auditor judgment.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process to develop estimates of total contract costs to be incurred for partially completed performance obligations. This included controls related to the estimated amount of time to complete the contracts, including the assessment of the nature and complexity of the work to be performed. We considered factors, including the value and stage of completion, to select certain customers’ contracts to evaluate the Company’s assumptions underlying the estimate of total contract costs to be incurred. We inspected the selected contracts to evaluate the Company’s identification of performance obligations and the determined method for measuring contract progress. We compared the Company’s original or prior period estimate of total contract costs to be incurred to the actual costs incurred for completed contracts to assess the Company’s ability to accurately estimate costs. We inquired of operational personnel of the Company to evaluate progress to date, the estimate of remaining costs to be incurred, and factors impacting the amount of time and cost to complete the selected contracts, including the assessment of the nature and complexity of the work to be performed. We inspected correspondence, if any, between the Company and the customers for the selected contracts as part of our evaluation of contract progress.</w:t>
      </w:r>
    </w:p>
    <w:p>
      <w:pPr>
        <w:pStyle w:val="TextBody"/>
        <w:bidi w:val="0"/>
        <w:spacing w:before="0" w:after="0"/>
        <w:ind w:left="0" w:right="0" w:firstLine="720"/>
        <w:jc w:val="left"/>
        <w:rPr/>
      </w:pPr>
      <w:r>
        <w:rPr/>
      </w:r>
    </w:p>
    <w:p>
      <w:pPr>
        <w:pStyle w:val="TextBody"/>
        <w:bidi w:val="0"/>
        <w:spacing w:lineRule="auto" w:line="288" w:before="60" w:after="283"/>
        <w:ind w:left="0" w:right="0" w:firstLine="297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2006.</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August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rFonts w:ascii="Times New Roman;serif" w:hAnsi="Times New Roman;serif"/>
          <w:b w:val="false"/>
          <w:color w:val="000000"/>
          <w:sz w:val="20"/>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765"/>
        <w:gridCol w:w="2306"/>
        <w:gridCol w:w="2300"/>
        <w:gridCol w:w="196"/>
        <w:gridCol w:w="871"/>
        <w:gridCol w:w="109"/>
        <w:gridCol w:w="109"/>
        <w:gridCol w:w="109"/>
        <w:gridCol w:w="109"/>
        <w:gridCol w:w="196"/>
        <w:gridCol w:w="871"/>
        <w:gridCol w:w="109"/>
        <w:gridCol w:w="155"/>
      </w:tblGrid>
      <w:tr>
        <w:trPr/>
        <w:tc>
          <w:tcPr>
            <w:tcW w:w="276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$1,767 and $2,020 at June 27, 2025 and June 28,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Unbilled receivables and costs in excess of billings, net of allowance for credit losses of $5,311 and $6,340 at June 27, 2025 and June 28,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1,000,000 shares authorized; no shares issued or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85,000,000 shares authorized; 59,003,174 and 58,093,528 shares issued and outstanding at June 27, 2025 and June 28,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pPr>
      <w:r>
        <w:rPr>
          <w:rFonts w:ascii="Times New Roman;serif" w:hAnsi="Times New Roman;serif"/>
          <w:b w:val="false"/>
          <w:color w:val="000000"/>
          <w:sz w:val="20"/>
        </w:rPr>
        <w:t>(In thousands, except per share data)</w:t>
      </w:r>
      <w:r>
        <w:rPr>
          <w:color w:val="000000"/>
        </w:rPr>
        <w:t> </w:t>
      </w:r>
    </w:p>
    <w:tbl>
      <w:tblPr>
        <w:tblW w:w="9225" w:type="dxa"/>
        <w:jc w:val="center"/>
        <w:tblInd w:w="0" w:type="dxa"/>
        <w:tblLayout w:type="fixed"/>
        <w:tblCellMar>
          <w:top w:w="28" w:type="dxa"/>
          <w:left w:w="28" w:type="dxa"/>
          <w:bottom w:w="28" w:type="dxa"/>
          <w:right w:w="28" w:type="dxa"/>
        </w:tblCellMar>
      </w:tblPr>
      <w:tblGrid>
        <w:gridCol w:w="1773"/>
        <w:gridCol w:w="1562"/>
        <w:gridCol w:w="1569"/>
        <w:gridCol w:w="211"/>
        <w:gridCol w:w="826"/>
        <w:gridCol w:w="109"/>
        <w:gridCol w:w="109"/>
        <w:gridCol w:w="109"/>
        <w:gridCol w:w="109"/>
        <w:gridCol w:w="211"/>
        <w:gridCol w:w="901"/>
        <w:gridCol w:w="109"/>
        <w:gridCol w:w="109"/>
        <w:gridCol w:w="109"/>
        <w:gridCol w:w="109"/>
        <w:gridCol w:w="211"/>
        <w:gridCol w:w="826"/>
        <w:gridCol w:w="10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and pension benefit plan,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Years Ended June 27, 2025, June 28, 2024 and June 30, 2023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93"/>
        <w:gridCol w:w="435"/>
        <w:gridCol w:w="438"/>
        <w:gridCol w:w="360"/>
        <w:gridCol w:w="361"/>
        <w:gridCol w:w="196"/>
        <w:gridCol w:w="109"/>
        <w:gridCol w:w="109"/>
        <w:gridCol w:w="109"/>
        <w:gridCol w:w="211"/>
        <w:gridCol w:w="466"/>
        <w:gridCol w:w="109"/>
        <w:gridCol w:w="109"/>
        <w:gridCol w:w="109"/>
        <w:gridCol w:w="109"/>
        <w:gridCol w:w="211"/>
        <w:gridCol w:w="976"/>
        <w:gridCol w:w="109"/>
        <w:gridCol w:w="109"/>
        <w:gridCol w:w="109"/>
        <w:gridCol w:w="109"/>
        <w:gridCol w:w="211"/>
        <w:gridCol w:w="826"/>
        <w:gridCol w:w="109"/>
        <w:gridCol w:w="109"/>
        <w:gridCol w:w="109"/>
        <w:gridCol w:w="109"/>
        <w:gridCol w:w="246"/>
        <w:gridCol w:w="842"/>
        <w:gridCol w:w="128"/>
        <w:gridCol w:w="109"/>
        <w:gridCol w:w="109"/>
        <w:gridCol w:w="109"/>
        <w:gridCol w:w="211"/>
        <w:gridCol w:w="976"/>
        <w:gridCol w:w="156"/>
      </w:tblGrid>
      <w:tr>
        <w:trPr/>
        <w:tc>
          <w:tcPr>
            <w:tcW w:w="9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866"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incentive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defined contribution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1,473,461 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pPr>
      <w:r>
        <w:rPr>
          <w:rFonts w:ascii="Times New Roman;serif" w:hAnsi="Times New Roman;serif"/>
          <w:b w:val="false"/>
          <w:color w:val="000000"/>
          <w:sz w:val="20"/>
        </w:rPr>
        <w:t>(In thousands)</w:t>
      </w:r>
      <w:r>
        <w:rPr>
          <w:color w:val="000000"/>
        </w:rPr>
        <w:t> </w:t>
      </w:r>
    </w:p>
    <w:tbl>
      <w:tblPr>
        <w:tblW w:w="10205" w:type="dxa"/>
        <w:jc w:val="center"/>
        <w:tblInd w:w="0" w:type="dxa"/>
        <w:tblLayout w:type="fixed"/>
        <w:tblCellMar>
          <w:top w:w="28" w:type="dxa"/>
          <w:left w:w="28" w:type="dxa"/>
          <w:bottom w:w="28" w:type="dxa"/>
          <w:right w:w="28" w:type="dxa"/>
        </w:tblCellMar>
      </w:tblPr>
      <w:tblGrid>
        <w:gridCol w:w="2209"/>
        <w:gridCol w:w="1910"/>
        <w:gridCol w:w="1927"/>
        <w:gridCol w:w="210"/>
        <w:gridCol w:w="791"/>
        <w:gridCol w:w="116"/>
        <w:gridCol w:w="109"/>
        <w:gridCol w:w="109"/>
        <w:gridCol w:w="109"/>
        <w:gridCol w:w="196"/>
        <w:gridCol w:w="812"/>
        <w:gridCol w:w="109"/>
        <w:gridCol w:w="109"/>
        <w:gridCol w:w="109"/>
        <w:gridCol w:w="109"/>
        <w:gridCol w:w="213"/>
        <w:gridCol w:w="780"/>
        <w:gridCol w:w="118"/>
        <w:gridCol w:w="160"/>
      </w:tblGrid>
      <w:tr>
        <w:trPr/>
        <w:tc>
          <w:tcPr>
            <w:tcW w:w="22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matching contributions on defined contribution plan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for deferred income taxes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for bad debt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settlement for termination of interest rate swap</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unbilled receivables, and costs in excess of billings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accrued compensation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assets and businesses, net of cash acquired</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manufacturing operations to Cicor Group</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credit facilities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retirement of common stock</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deferred financing and offering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128,578 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year</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year</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(received) during the period for:</w:t>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(refunded), net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disclosures—non-cash activities: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Purchases of property and equipment incurred but not yet paid</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Inventory transfer to property and equipment, net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6"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A.</w:t>
      </w:r>
      <w:r>
        <w:rPr>
          <w:rFonts w:ascii="Times New Roman;serif" w:hAnsi="Times New Roman;serif"/>
          <w:b/>
          <w:color w:val="000000"/>
          <w:sz w:val="20"/>
        </w:rPr>
        <w:t>Description of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Systems, Inc. (the Company) is a technology company that delivers mission-critical processing to the edge - where signals and data are collected - to solve the most pressing aerospace and defense challenges. Mercury’s products and solutions are deployed in more than 300 programs and across 35 countries. The Company is headquartered in Andover, Massachusetts, and has over 20 locations worldwide.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the unique advantage the Company provides to its customers. It comprises the innovative technologies the Company has developed and acquired for more than 40 years that bring integrated, mission-critical processing to the edge. The Company's processing platform spans the full breadth of signal processing—from radio frequency (“RF”) front end to the human-machine interface—to rapidly convert meaningful data, gathered in the most remote and hostile environments, into critical decisions. It allows the Company to offer standard products and custom solutions from silicon to system scale, including components, modules, subsystems, and systems and it embodies the customer-centric approach the Company takes to delivering capabilities that are mission-ready, trusted and secure, software-defined, and open and modular.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B.</w:t>
      </w:r>
      <w:r>
        <w:rPr>
          <w:rFonts w:ascii="Times New Roman;serif" w:hAnsi="Times New Roman;serif"/>
          <w:b/>
          <w:color w:val="000000"/>
          <w:sz w:val="20"/>
        </w:rPr>
        <w:t>Summary of Significant Accounting Policies</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RINCIPLES</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ONSOLIDATION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the Company and its wholly-owned subsidiaries. All intercompany transactions and balances have been eliminated in consolidation. </w:t>
      </w:r>
    </w:p>
    <w:p>
      <w:pPr>
        <w:pStyle w:val="TextBody"/>
        <w:bidi w:val="0"/>
        <w:spacing w:lineRule="auto" w:line="288" w:before="180" w:after="283"/>
        <w:jc w:val="both"/>
        <w:rPr/>
      </w:pPr>
      <w:r>
        <w:rPr>
          <w:rFonts w:ascii="Times New Roman;serif" w:hAnsi="Times New Roman;serif"/>
          <w:b/>
          <w:color w:val="000000"/>
          <w:sz w:val="20"/>
        </w:rPr>
        <w:t>B</w:t>
      </w:r>
      <w:r>
        <w:rPr>
          <w:rFonts w:ascii="Times New Roman;serif" w:hAnsi="Times New Roman;serif"/>
          <w:b/>
          <w:color w:val="000000"/>
          <w:sz w:val="16"/>
        </w:rPr>
        <w:t>ASIS OF</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RESENTATION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fiscal 2025 are to the 52-week period from June 29, 2024 to June 27, 2025. All references to fiscal 2024 are to the 52-week period from July 1, 2023 to June 28, 2024. All references to fiscal 2023 are to the 52-week period from July 2, 2022 to June 30, 2023. </w:t>
      </w:r>
    </w:p>
    <w:p>
      <w:pPr>
        <w:pStyle w:val="TextBody"/>
        <w:bidi w:val="0"/>
        <w:spacing w:lineRule="auto" w:line="288" w:before="180" w:after="283"/>
        <w:jc w:val="both"/>
        <w:rPr/>
      </w:pPr>
      <w:r>
        <w:rPr>
          <w:rFonts w:ascii="Times New Roman;serif" w:hAnsi="Times New Roman;serif"/>
          <w:b/>
          <w:color w:val="000000"/>
          <w:sz w:val="20"/>
        </w:rPr>
        <w:t>U</w:t>
      </w:r>
      <w:r>
        <w:rPr>
          <w:rFonts w:ascii="Times New Roman;serif" w:hAnsi="Times New Roman;serif"/>
          <w:b/>
          <w:color w:val="000000"/>
          <w:sz w:val="16"/>
        </w:rPr>
        <w:t>SE</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pStyle w:val="TextBody"/>
        <w:bidi w:val="0"/>
        <w:spacing w:lineRule="auto" w:line="288" w:before="180" w:after="283"/>
        <w:jc w:val="both"/>
        <w:rPr/>
      </w:pPr>
      <w:r>
        <w:rPr>
          <w:rFonts w:ascii="Times New Roman;serif" w:hAnsi="Times New Roman;serif"/>
          <w:b/>
          <w:color w:val="000000"/>
          <w:sz w:val="20"/>
        </w:rPr>
        <w:t>B</w:t>
      </w:r>
      <w:r>
        <w:rPr>
          <w:rFonts w:ascii="Times New Roman;serif" w:hAnsi="Times New Roman;serif"/>
          <w:b/>
          <w:color w:val="000000"/>
          <w:sz w:val="16"/>
        </w:rPr>
        <w:t>USINESS</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OMBINATIONS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utilizes the acquisition method of accounting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for all transactions and events in which it obtains control over one or more other businesses, to recognize the fair value of all assets and liabilities acquired, even if less than one hundred percent ownership is acquired, and in establishing the acquisition date fair value as of the measurement date for all assets and liabilities assumed. The Company also utilizes ASC 805 for the initial recognition and measurement, subsequent measurement and accounting, and disclosure of assets and liabilities arising from contingencies in business combinations. Other estimates include: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estimated step-ups for fixed assets and inventory;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estimated fair values of intangible assets; and</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estimated income tax assets and liabilities assumed from the acquiree.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uses its best estimates and assumptions as part of the purchase price allocation process to accurately value assets acquired and liabilities assumed at the business acquisition date, the estimates and assumptions are inherently uncertain and subject to refinement. As a result, during the purchase price allocation period, which is generally one year from the business acquisition date, the Company records adjustments to the assets acquired and liabilities assumed, with the corresponding offset to goodwill. For changes in the valuation of intangible assets between the preliminary and final purchase price allocation, the related amortization is adjusted in the period it occurs. Subsequent to the purchase price allocation period, any adjustment to assets acquired or liabilities assumed is included in operating results in the period in which the adjustment is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L</w:t>
      </w:r>
      <w:r>
        <w:rPr>
          <w:rFonts w:ascii="Times New Roman;serif" w:hAnsi="Times New Roman;serif"/>
          <w:b/>
          <w:color w:val="000000"/>
          <w:sz w:val="16"/>
        </w:rPr>
        <w:t>EASES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The Company measures its lease obligations in accordance with ASC 842,</w:t>
      </w:r>
      <w:r>
        <w:rPr>
          <w:color w:val="000000"/>
        </w:rPr>
        <w:t xml:space="preserve"> </w:t>
      </w:r>
      <w:r>
        <w:rPr>
          <w:rFonts w:ascii="Times New Roman;serif" w:hAnsi="Times New Roman;serif"/>
          <w:b w:val="false"/>
          <w:i/>
          <w:color w:val="000000"/>
          <w:sz w:val="20"/>
        </w:rPr>
        <w:t>Leases</w:t>
      </w:r>
      <w:r>
        <w:rPr>
          <w:rFonts w:ascii="Times New Roman;serif" w:hAnsi="Times New Roman;serif"/>
          <w:b w:val="false"/>
          <w:color w:val="000000"/>
          <w:sz w:val="20"/>
        </w:rPr>
        <w:t>, (“ASC 842”), which requires lessees to recognize a right-of-use (“ROU”) asset and lease liability for most lease arrangements.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arrangements involving the lease of facilities. Under ASC 842, at inception of the arrangement, the Company determines whether the contract is or contains a lease and whether the lease should be classified as an operating or a financing lease. This determination, among other considerations, involves an assessment of whether the Company can control the underlying asset and have the right to obtain substantially all of the economic benefits or outputs from the asset.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ROU assets and lease liabilities as of the lease commencement date based on the net present value of the future minimum lease payments over the lease term. ASC 842 requires lessees to use the rate implicit in the lease unless it is not readily determinable and then it may use its incremental borrowing rate (“IBR”) to discount the future minimum lease payments. Most of the Company's lease arrangements do not provide an implicit rate; therefore, the Company uses its IBR to discount the future minimum lease payments. The Company determines its IBR with its credit rating and current economic information available as of the commencement date, as well as the identified lease term. During the assessment of the lease term, the Company considers its renewal options and extensions within the arrangements and the Company includes these options when it is reasonably certain to extend the term of the lease.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lease arrangements with both lease and non-lease components. Consideration is allocated to lease and non-lease components based on estimated standalone prices. The Company has elected to exclude non-lease components from the calculation of its ROU assets and lease liabilities. Leases with an initial term of 12 months or less do not result in recognition of a ROU asset and a lease liability and will be expensed as incurred over the lease term. Leases of this nature were immaterial to the Company’s consolidated financial statements.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 arrangements that contain incentives for tenant improvements as well as fixed rent escalation clauses. For contracts with tenant improvement incentives that are determined to be a leasehold improvement that will be owned by the lessee and the Company is reasonably certain to exercise, it records a reduction to the lease liability and amortizes the incentive over the identified term of the lease as a reduction to rent expense. The Company records rental expense on a straight-line basis over the identified lease term on contracts with rent escalation clauses.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Finance leases are not material to the Company's consolidated financial statements and the Company is not a lessor in any material lease arrangements. There are no material restrictions, covenants, sale and leaseback transactions, variable lease payments or residual value guarantees in the Company's lease arrangements. Operating leases are included in Operating lease right-of-use assets, net, Accrued expenses, and Operating lease liabilities in the Company's Consolidated Balance Sheets. See Note I to the consolidated financial statements for more information regarding our obligations under leases.</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EVENUE</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ECOGNITION</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recognizes revenue in accordance with the five step model set forth by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(“ASC 606”), which involves identification of the contract(s), identification of performance obligations in the contract, determination of the transaction price, allocation of the transaction price to the previously identified performance obligations, and revenue recognition as the performance obligations are satisfied.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step one of the five step model, the Company considers whether contracts should be combined or segmented, and based on this assessment, the Company combines closely related contracts when all the applicable criteria are met. The combination of two or more contracts requires judgment in determining whether the intent of entering into the contracts was effectively to enter into a single contract, which should be combined to reflect an overall profit rate. Similarly, the Company may separate an arrangement, which may consist of a single contract or group of contracts, with varying rates of profitability, only if the applicable criteria are met. Judgment also is involved in determining whether a single contract or group of contracts may be segmented based on how the arrangement and the related performance criteria were negotiated. The conclusion to combine a group of contracts or segment a contract could change the amount of revenue and gross profit recorded in a given period.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the performance obligation is satisfied. 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 The Company's contracts with customers generally do not include a right of return relative to delivered products. In certain cases, contracts are modified to account for changes in the contract specifications or requirements. In most instances, contract modifications are accounted for as part of the existing contract. Certain contracts with customers have options for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acquire additional goods or services. In most cases the pricing of these options are reflective of the standalone selling price of the good or service. These options do not provide the customer with a material right and are accounted for only when the customer exercises the option to purchase the additional goods or services. If the option on the customer contract was not indicative of the standalone selling price of the good or service, the material right would be accounted for as a separate performance obligation.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a leading technology company serving the aerospace and defense industry, positioned at the intersection of high-tech and defense. Revenues are derived from the sales of products that are grouped into one of the following three categories: (i) components; (ii) modules and sub-assemblies; and (iii) integrated solutions. The Company also generates revenues from the performance of services, including systems engineering support, consulting, maintenance and other support, testing and installation. Each promised good or service within a contract is accounted for separately under the guidance of ASC 606 if they are distinct. Promised goods or services not meeting the criteria for being a distinct performance obligation are bundled into a single performance obligation with other goods or services that together meet the criteria for being distinct. The appropriate allocation of the transaction price and recognition of revenue is then determined for the bundled performance obligation.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Once the Company identifies the performance obligations, the Company then determines the transaction price, which includes estimating the amount of variable consideration to be included in the transaction price, if any. Variable consideration typically arises due to volume discounts, or other provisions that can either decrease or increase the transaction price. To the extent the transaction price includes variable consideration, the Company estimates the amount of variable consideration that should be included in the transaction price utilizing either the expected value method or the most likely amount method depending on the method the Company expects to better predict the amount of consideration to which it will be entitled. The determination of the estimates for variable consideration require judgment, and are based on past history with similar contracts and anticipated performance. Further, variable consideration is only included in the determination of the transaction price if it is probable that a significant reversal in the amount of revenue recognized will not occur. There are no constraints on the variable consideration recorded.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transaction price is allocated to each performance obligation using the standalone selling price of each distinct good or service in the contract. Standalone selling prices of the Company’s goods and services are generally not directly observable. Accordingly, the primary method used to estimate standalone selling price is the expected cost plus a margin approach, under which the Company estimates the expected costs of satisfying a performance obligation and then adds an appropriate margin for that distinct good or service. The objective of the expected cost plus a margin approach is to determine the price at which the Company would transact if the product or service were sold by the Company on a standalone basis. The Company's determination of the expected cost plus a margin approach involves the consideration of several factors based on the specific facts and circumstances of each contract. Specifically, the Company considers the cost to produce the deliverable, the anticipated margin on that deliverable, the selling price and profit margin for similar parts, the Company’s ongoing pricing strategy and policies, often based on the price list established and updated by management on a regular basis, the value of any enhancements that have been built into the deliverable and the characteristics of the varying markets in which the deliverable is sold.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analyzes the standalone selling prices used in its allocation of transaction price on contracts at least annually. Standalone selling prices will be analyzed on a more frequent basis if a significant change in the Company’s business necessitates a more frequent analysis or if the Company experiences significant variances in its selling prices.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recognized at a point in time generally relates to contracts that include a combination of components, modules and sub-assemblies, integrated solutions and related system integration or other services. Contracts with distinct performance obligations recognized at a point in time, with or without an allocation of the transaction price, totaled 53%, 45% and 44% of revenues in the fiscal years ended June 27, 2025, June 28, 2024 and June 30, 2023, respectively. Revenue is recognized at a point in time for these products and services (versus over time recognition) due to the following: (i) customers are only able to consume the benefits provided by the Company upon completion of the product or service; (ii) customers do not control the product or service prior to completion; and (iii) the Company does not have an enforceable right to payment at all times for performance completed to date. Accordingly, there is little judgment in determining when control of the good or service transfers to the customer, and revenue is generally recognized upon transfer of control (for goods) or completion (for services).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engages in contracts for development, production and service activities and recognizes revenue for performance obligations over time. These over time contracts involve the design, development, manufacture, or modification of complex modules and sub-assemblies or integrated subsystems and related services. Revenue is recognized over time, due to the fact that: (i) the Company’s performance creates or enhances an asset that the customer controls as the asset is created or enhanced; and (ii) the Company’s performance creates an asset with no alternative use to the Company and the Company has an enforceable right to payment for performance completed to date. The Company considers the nature of these contracts and the types of products and services provided when determining the proper accounting for a particular contract. These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include both fixed-price and cost reimbursable contracts. The Company’s cost reimbursable contracts typically include cost-plus fixed fee and time and material (“T&amp;M”) contracts.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over time contracts, the Company typically leverages the input method, using a cost-to-cost measure of progress. The Company believes that this method represents the most faithful depiction of the Company’s performance because it directly measures value transferred to the customer. Contract estimates and estimates of any variable consideration are based on various assumptions to project the outcome of future events that may span several years. These assumptions include: the amount of time to complete the contract, including the assessment of the nature and complexity of the work to be performed; the cost and availability of materials; the availability of subcontractor services and materials; and the availability and timing of funding from the customer. The Company bears the risk of changes in estimates to complete on a fixed-price contract which may cause profit levels to vary from period to period. For cost reimbursable contracts, the Company is reimbursed periodically for allowable costs and is paid a portion of the fee based on contract progress. In the limited instances where the Company enters into T&amp;M contracts, revenue recognized reflects the number of direct labor hours expended in the performance of a contract multiplied by the contract billing rate, as well as reimbursement of other direct billable costs. For T&amp;M contracts, the Company recognizes revenue in the amount for which the Company has a right to invoice the customer based on the control transferred to the customer. For over time contracts, the Company recognizes anticipated contract losses as soon as they become known and estimable.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revenue recognized under over time contracts was 47%, 55% and 56% of revenues in the fiscal years ended June 27, 2025, June 28, 2024 and June 30, 2023,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contracts recognized over time requires significant judgment relative to estimating total contract revenues and costs, in particular, assumptions relative to the amount of time to complete the contract, including the assessment of the nature and complexity of the work to be performed and the impact of contract amendments which may result in cumulative adjustments. The Company’s estimates are based upon the professional knowledge and experience of its engineers, program managers and other personnel, who review each over time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 The aggregate effects of these favorable and unfavorable changes across the Company’s portfolio of programs can have a significant effect upon its reported Loss from operations, Net loss and Diluted net loss per share in each of the reporting periods. The net impact of changes in estimates had the following impact on the Company’s operating results: </w:t>
      </w:r>
    </w:p>
    <w:tbl>
      <w:tblPr>
        <w:tblW w:w="7892"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2"/>
        <w:gridCol w:w="803"/>
        <w:gridCol w:w="109"/>
        <w:gridCol w:w="109"/>
        <w:gridCol w:w="109"/>
        <w:gridCol w:w="109"/>
        <w:gridCol w:w="212"/>
        <w:gridCol w:w="803"/>
        <w:gridCol w:w="109"/>
        <w:gridCol w:w="109"/>
        <w:gridCol w:w="109"/>
        <w:gridCol w:w="109"/>
        <w:gridCol w:w="212"/>
        <w:gridCol w:w="802"/>
        <w:gridCol w:w="155"/>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Years Ended</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generally does not provide its customers with rights of product return other than those related to assurance warranty provisions that permit repair or replacement of defective goods over a period of 12 to 36 months. The Company accrues for anticipated warranty costs upon product shipment. The Company does not consider activities related to such assurance warranties, if any, to be a separate performance obligation. The Company does offer separately priced extended warranties which generally range from 12 to 36 months that are treated as separate performance obligations. The transaction price allocated to extended warranties is recognized over time in proportion to the costs expected to be incurred in satisfying the obligations under the contract.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over time contracts, the portion of the payments retained by the customer is not considered a significant financing component because most contracts have a duration of less than one year and payment is received as progress is made. Many of the Company's over time contracts have milestone payments, which align the payment schedule with the progress towards completion on the performance obligation. On some contracts, the Company may be entitled to receive an advance payment, which is not considered a significant financing component because it is used to facilitate inventory demands at the onset of a contract and to safeguard the Company from the failure of the other party to abide by some or all of their obligations under the contract.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revenues are reported net of government assessed taxes (e.g., sales taxes or value-added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OSTS</w:t>
      </w:r>
      <w:r>
        <w:rPr>
          <w:color w:val="000000"/>
        </w:rPr>
        <w:t xml:space="preserve"> </w:t>
      </w:r>
      <w:r>
        <w:rPr>
          <w:rFonts w:ascii="Times New Roman;serif" w:hAnsi="Times New Roman;serif"/>
          <w:b/>
          <w:color w:val="000000"/>
          <w:sz w:val="16"/>
        </w:rPr>
        <w:t>TO</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BTAIN AND</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ULFILL</w:t>
      </w:r>
      <w:r>
        <w:rPr>
          <w:color w:val="000000"/>
        </w:rPr>
        <w:t xml:space="preserve"> </w:t>
      </w:r>
      <w:r>
        <w:rPr>
          <w:rFonts w:ascii="Times New Roman;serif" w:hAnsi="Times New Roman;serif"/>
          <w:b/>
          <w:color w:val="000000"/>
          <w:sz w:val="16"/>
        </w:rPr>
        <w:t>A</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ONTRACT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expenses sales commissions as incurred for contracts where the amortization period would have been one year or less. The Company had $627 and $837 of deferred sales commissions for contracts where the amortization period is greater than one year as of June 27, 2025 and June 28, 2024,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elected to treat shipping and handling activities performed after the customer has obtained control of the related goods as a fulfillment cost. Such costs are accrued for in conjunction with the recording of revenue for the goods and are classified as cost of revenues.</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ONTRACT</w:t>
      </w:r>
      <w:r>
        <w:rPr>
          <w:color w:val="000000"/>
        </w:rPr>
        <w:t xml:space="preserve"> </w:t>
      </w:r>
      <w:r>
        <w:rPr>
          <w:rFonts w:ascii="Times New Roman;serif" w:hAnsi="Times New Roman;serif"/>
          <w:b/>
          <w:color w:val="000000"/>
          <w:sz w:val="20"/>
        </w:rPr>
        <w:t>B</w:t>
      </w:r>
      <w:r>
        <w:rPr>
          <w:rFonts w:ascii="Times New Roman;serif" w:hAnsi="Times New Roman;serif"/>
          <w:b/>
          <w:color w:val="000000"/>
          <w:sz w:val="16"/>
        </w:rPr>
        <w:t>ALANCES</w:t>
      </w:r>
      <w:r>
        <w:rPr>
          <w:color w:val="000000"/>
        </w:rPr>
        <w: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Contract balances result from the timing of revenue recognized, billings and cash collections, and the generation of contract assets and liabilities. Contract assets represent revenue recognized in excess of amounts invoiced to the customer and the right to payment is not subject to the passage of time. Contract assets are presented as unbilled receivables and costs in excess of billings, net of allowance for credit losses on the Company’s Consolidated Balance Sheets. Contract liabilities consist of deferred product revenue, billings in excess of revenues, deferred service revenue, and customer advances. Deferred product revenue represents amounts that have been invoiced to customers, but are not yet recognizable as revenue because the Company has not satisfied its performance obligations under the contract. Billings in excess of revenues represents milestone billing contracts where the billings of the contract exceed recognized revenues. Deferred service revenue primarily represents amounts invoiced to customers for annual maintenance contracts or extended warranty contracts, which are recognized over time in proportion to the costs expected to be incurred in satisfying the obligations under the contract. Customer advances represent deposits received from customers on an order. Contract liabilities are included in deferred revenue and the long-term portion of deferred revenue is included within other non-current liabilities on the Company’s Consolidated Balance Sheets. Contract balances are reported in a net position on a contract-by-contract basis.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contract asset balances were $278,475 and $304,029 as of June 27, 2025 and June 28, 2024, respectively. The contract asset balance decreased due to $452,171 of billings, offset by revenue recognized under over time contracts of $426,617 during the fiscal year ended June 27, 2025. The contract liability balances were $127,605 and $74,367 as of June 27, 2025 and June 28, 2024, respectively. The contract liability increased due to a higher volume of advanced milestone billing events as well as timing of revenue recognized across multiple programs.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fiscal 2025 that was included in the contract liability balance at June 28, 2024 was $59,183. </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EMAINING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ERFORMANCE</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includes in its computation of remaining performance obligations customer orders for which it has accepted executed sales orders. The definition of remaining performance obligations excludes those contracts that provide the customer with the right to cancel or terminate the order with no substantial penalty, even if the Company’s historical experience indicates the likelihood of cancellation or termination is remote. As of June 27, 2025, the aggregate amount of the transaction price allocated to remaining performance obligations was $787,926. The Company expects to recognize approximately 49% of its remaining performance obligations as revenue in the next 12 months and the balance thereafter.</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QUIVALENTS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consisting of highly liquid money market funds and U.S. government and U.S. government agency issues with original maturities of 90 days or less at the date of purchase, are carried at fair market value which approximates cost. </w:t>
      </w:r>
    </w:p>
    <w:p>
      <w:pPr>
        <w:pStyle w:val="TextBody"/>
        <w:bidi w:val="0"/>
        <w:spacing w:lineRule="auto" w:line="288" w:before="120" w:after="283"/>
        <w:jc w:val="both"/>
        <w:rPr/>
      </w:pPr>
      <w:r>
        <w:rPr>
          <w:rFonts w:ascii="Times New Roman;serif" w:hAnsi="Times New Roman;serif"/>
          <w:b/>
          <w:color w:val="000000"/>
          <w:sz w:val="20"/>
          <w:shd w:fill="FFFFFF" w:val="clear"/>
        </w:rPr>
        <w:t>A</w:t>
      </w:r>
      <w:r>
        <w:rPr>
          <w:rFonts w:ascii="Times New Roman;serif" w:hAnsi="Times New Roman;serif"/>
          <w:b/>
          <w:color w:val="000000"/>
          <w:sz w:val="16"/>
          <w:shd w:fill="FFFFFF" w:val="clear"/>
        </w:rPr>
        <w:t>CCOUNTS</w:t>
      </w:r>
      <w:r>
        <w:rPr>
          <w:color w:val="000000"/>
          <w:shd w:fill="FFFFFF" w:val="clear"/>
        </w:rPr>
        <w:t xml:space="preserve"> </w:t>
      </w:r>
      <w:r>
        <w:rPr>
          <w:rFonts w:ascii="Times New Roman;serif" w:hAnsi="Times New Roman;serif"/>
          <w:b/>
          <w:color w:val="000000"/>
          <w:sz w:val="20"/>
          <w:shd w:fill="FFFFFF" w:val="clear"/>
        </w:rPr>
        <w:t>R</w:t>
      </w:r>
      <w:r>
        <w:rPr>
          <w:rFonts w:ascii="Times New Roman;serif" w:hAnsi="Times New Roman;serif"/>
          <w:b/>
          <w:color w:val="000000"/>
          <w:sz w:val="16"/>
          <w:shd w:fill="FFFFFF" w:val="clear"/>
        </w:rPr>
        <w:t>ECEIVABLE</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Accounts receivable, net, represents amounts that have been billed and are currently due from customers. The Company maintains an allowance for credit losses to provide for the estimated amount of receivables that will not be collected. The Company provides credit to customers in the normal course of business. The Company performs ongoing credit evaluations of its customers’ financial condition and limits the amount of credit extended as necessary. The allowance is based upon an assessment of the customer's credit worthiness, reasonable forecasts about the future, history with the customer, recovery of balances from contract settlements, and the age of the receivable balance. The Company typically invoices a customer upon shipment of the product (or completion of a service) for contracts where revenue is recognized at a point in time. For contracts where revenue is recognized over time, the invoicing events are typically based on specified performance obligation deliverables or milestone events, or quantifiable measures of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shd w:fill="FFFFFF" w:val="clear"/>
        </w:rPr>
        <w:t>A</w:t>
      </w:r>
      <w:r>
        <w:rPr>
          <w:rFonts w:ascii="Times New Roman;serif" w:hAnsi="Times New Roman;serif"/>
          <w:b/>
          <w:color w:val="000000"/>
          <w:sz w:val="16"/>
          <w:shd w:fill="FFFFFF" w:val="clear"/>
        </w:rPr>
        <w:t xml:space="preserve">CCOUNTS </w:t>
      </w:r>
      <w:r>
        <w:rPr>
          <w:rFonts w:ascii="Times New Roman;serif" w:hAnsi="Times New Roman;serif"/>
          <w:b/>
          <w:color w:val="000000"/>
          <w:sz w:val="20"/>
          <w:shd w:fill="FFFFFF" w:val="clear"/>
        </w:rPr>
        <w:t>R</w:t>
      </w:r>
      <w:r>
        <w:rPr>
          <w:rFonts w:ascii="Times New Roman;serif" w:hAnsi="Times New Roman;serif"/>
          <w:b/>
          <w:color w:val="000000"/>
          <w:sz w:val="16"/>
          <w:shd w:fill="FFFFFF" w:val="clear"/>
        </w:rPr>
        <w:t xml:space="preserve">ECEIVABLES </w:t>
      </w:r>
      <w:r>
        <w:rPr>
          <w:rFonts w:ascii="Times New Roman;serif" w:hAnsi="Times New Roman;serif"/>
          <w:b/>
          <w:color w:val="000000"/>
          <w:sz w:val="20"/>
          <w:shd w:fill="FFFFFF" w:val="clear"/>
        </w:rPr>
        <w:t>F</w:t>
      </w:r>
      <w:r>
        <w:rPr>
          <w:rFonts w:ascii="Times New Roman;serif" w:hAnsi="Times New Roman;serif"/>
          <w:b/>
          <w:color w:val="000000"/>
          <w:sz w:val="16"/>
          <w:shd w:fill="FFFFFF" w:val="clear"/>
        </w:rPr>
        <w:t>ACTORING</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On September 27, 2022, the Company executed an uncommitted receivables purchase agreement (“RPA”), pursuant to which the Company could offer to sell certain customer receivables, subject to the terms and conditions of the RPA. </w:t>
      </w:r>
      <w:r>
        <w:rPr>
          <w:rFonts w:ascii="Times New Roman;serif" w:hAnsi="Times New Roman;serif"/>
          <w:b w:val="false"/>
          <w:color w:val="000000"/>
          <w:sz w:val="20"/>
        </w:rPr>
        <w:t>On August 13, 2024, the Company terminated the RPA in conjunction with entering into a new receivables purchase and service agreement.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13, 2024, the Company entered into a $60,000 committed receivables purchase and servicing agreement (“RPSA”) with a new party. The RPSA has an initial term of two years. Pursuant to the RPSA, the new party has committed to purchase receivables at a discount from a list of certain of the Company’s customers, maintaining a balance of purchased receivables at or below $60,000. Under the RPSA, a portion of the factored receivables is paid by the counterparty in cash and classified as a deferred purchase price receivable, which is paid as receivables are collected by the Company.</w:t>
      </w:r>
    </w:p>
    <w:p>
      <w:pPr>
        <w:pStyle w:val="TextBody"/>
        <w:bidi w:val="0"/>
        <w:spacing w:lineRule="auto" w:line="288" w:before="100" w:after="283"/>
        <w:ind w:left="0" w:right="0" w:firstLine="495"/>
        <w:jc w:val="both"/>
        <w:rPr/>
      </w:pPr>
      <w:r>
        <w:rPr>
          <w:rFonts w:ascii="Times New Roman;serif" w:hAnsi="Times New Roman;serif"/>
          <w:b w:val="false"/>
          <w:color w:val="000000"/>
          <w:sz w:val="20"/>
        </w:rPr>
        <w:t>Proceeds for amounts factored by the Company are recorded as an incr</w:t>
      </w:r>
      <w:r>
        <w:rPr>
          <w:rFonts w:ascii="Times New Roman;serif" w:hAnsi="Times New Roman;serif"/>
          <w:b w:val="false"/>
          <w:color w:val="000000"/>
          <w:sz w:val="20"/>
          <w:shd w:fill="FFFFFF" w:val="clear"/>
        </w:rPr>
        <w:t xml:space="preserve">ease to cash and a reduction to accounts receivable outstanding in the Consolidated Balance Sheets. Cash flows attributable to factored receivables are reflected as cash flows from operating activities in the Company's Consolidated Statements of Cash Flows. Factoring fees are included as Selling, general and administrative expenses in the Company's </w:t>
      </w:r>
      <w:r>
        <w:rPr>
          <w:rFonts w:ascii="Times New Roman;serif" w:hAnsi="Times New Roman;serif"/>
          <w:b w:val="false"/>
          <w:color w:val="000000"/>
          <w:sz w:val="20"/>
        </w:rPr>
        <w:t>Consolidated Statements of Operations and Comprehensive Loss</w:t>
      </w:r>
      <w:r>
        <w:rPr>
          <w:rFonts w:ascii="Times New Roman;serif" w:hAnsi="Times New Roman;serif"/>
          <w:b w:val="false"/>
          <w:color w:val="000000"/>
          <w:sz w:val="20"/>
          <w:shd w:fill="FFFFFF" w:val="clear"/>
        </w:rPr>
        <w: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had $52,164 and $33,777 of factored accounts receivables as of June 27, 2025 and June 28, 2024, respectively. The Company incurred factoring fees of approximately $1,758 and $1,947 for fiscal years 2025 and 2024, respectively.</w:t>
      </w:r>
    </w:p>
    <w:p>
      <w:pPr>
        <w:pStyle w:val="TextBody"/>
        <w:bidi w:val="0"/>
        <w:spacing w:lineRule="auto" w:line="288" w:before="180" w:after="283"/>
        <w:jc w:val="both"/>
        <w:rPr/>
      </w:pPr>
      <w:r>
        <w:rPr>
          <w:rFonts w:ascii="Times New Roman;serif" w:hAnsi="Times New Roman;serif"/>
          <w:b/>
          <w:color w:val="000000"/>
          <w:sz w:val="20"/>
        </w:rPr>
        <w:t>F</w:t>
      </w:r>
      <w:r>
        <w:rPr>
          <w:rFonts w:ascii="Times New Roman;serif" w:hAnsi="Times New Roman;serif"/>
          <w:b/>
          <w:color w:val="000000"/>
          <w:sz w:val="16"/>
        </w:rPr>
        <w:t>AIR</w:t>
      </w:r>
      <w:r>
        <w:rPr>
          <w:color w:val="000000"/>
        </w:rPr>
        <w:t xml:space="preserve"> </w:t>
      </w:r>
      <w:r>
        <w:rPr>
          <w:rFonts w:ascii="Times New Roman;serif" w:hAnsi="Times New Roman;serif"/>
          <w:b/>
          <w:color w:val="000000"/>
          <w:sz w:val="20"/>
        </w:rPr>
        <w:t>V</w:t>
      </w:r>
      <w:r>
        <w:rPr>
          <w:rFonts w:ascii="Times New Roman;serif" w:hAnsi="Times New Roman;serif"/>
          <w:b/>
          <w:color w:val="000000"/>
          <w:sz w:val="16"/>
        </w:rPr>
        <w:t>ALUE OF</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INANCIAL</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NSTRUMENTS</w:t>
      </w:r>
      <w:r>
        <w:rPr>
          <w:color w:val="000000"/>
        </w:rPr>
        <w:t xml:space="preserv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measures at fair value certain financial assets and liabilities, including cash equivalents, restricted cash, interest rate derivatives, and contingent consideration. ASC 820, </w:t>
      </w:r>
      <w:r>
        <w:rPr>
          <w:rFonts w:ascii="Times New Roman;serif" w:hAnsi="Times New Roman;serif"/>
          <w:b w:val="false"/>
          <w:i/>
          <w:color w:val="000000"/>
          <w:sz w:val="20"/>
        </w:rPr>
        <w:t>Fair Value Measurement and Disclosures</w:t>
      </w:r>
      <w:r>
        <w:rPr>
          <w:rFonts w:ascii="Times New Roman;serif" w:hAnsi="Times New Roman;serif"/>
          <w:b w:val="false"/>
          <w:color w:val="000000"/>
          <w:sz w:val="20"/>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1—Quoted prices for identical instruments in active markets;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color w:val="000000"/>
          <w:sz w:val="16"/>
        </w:rPr>
        <w:t>ONCENTRATION</w:t>
      </w:r>
      <w:r>
        <w:rPr>
          <w:color w:val="000000"/>
        </w:rPr>
        <w:t xml:space="preserve"> </w:t>
      </w:r>
      <w:r>
        <w:rPr>
          <w:rFonts w:ascii="Times New Roman;serif" w:hAnsi="Times New Roman;serif"/>
          <w:b/>
          <w:color w:val="000000"/>
          <w:sz w:val="16"/>
        </w:rPr>
        <w:t>OF</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REDIT</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cash equivalents, accounts receivable, unbilled receivables and costs in excess of billings. The Company places its cash and cash equivalents with financial institutions of high credit quality. As of June 27, 2025 and June 28, 2024, the Company had $309,099 and $180,521, respectively, of cash and cash equivalents on deposit or invested with its financial and lending institutions.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credit to customers in the normal course of business. The Company performs ongoing credit evaluations of its customers’ financial condition and limits the amount of credit extended when deemed necessary. As of June 27, 2025, five customers accounted for 48% of the Company's accounts receivable, unbilled receivables and costs in excess of billings. As of June 28, 2024, five customers accounted for 51% of the Company’s accounts receivable, unbilled receivables and costs in excess of billings.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to provide for the estimated amount of receivables that will not be fully collected. The allowance is based on the assessment of the following factors: customer creditworthiness; historical payment experience; age of outstanding receivables; and any applicable collateral.</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NVENTORY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(first-in, first-out) or net realizable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 xml:space="preserve">EGMENT </w:t>
      </w:r>
      <w:r>
        <w:rPr>
          <w:rFonts w:ascii="Times New Roman;serif" w:hAnsi="Times New Roman;serif"/>
          <w:b/>
          <w:color w:val="000000"/>
          <w:sz w:val="20"/>
        </w:rPr>
        <w:t>I</w:t>
      </w:r>
      <w:r>
        <w:rPr>
          <w:rFonts w:ascii="Times New Roman;serif" w:hAnsi="Times New Roman;serif"/>
          <w:b/>
          <w:color w:val="000000"/>
          <w:sz w:val="16"/>
        </w:rPr>
        <w:t>NFORMATION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uses the management approach for segment disclosure, which designates the internal organization that is used by management for making operating decisions and assessing performance as the source of its reportable segments. The Company manages its business on the basis of one reportable segment, as a leading technology company serving the aerospace and defense industry.</w:t>
      </w:r>
    </w:p>
    <w:p>
      <w:pPr>
        <w:pStyle w:val="TextBody"/>
        <w:bidi w:val="0"/>
        <w:spacing w:lineRule="auto" w:line="288" w:before="180" w:after="283"/>
        <w:jc w:val="both"/>
        <w:rPr/>
      </w:pPr>
      <w:r>
        <w:rPr>
          <w:rFonts w:ascii="Times New Roman;serif" w:hAnsi="Times New Roman;serif"/>
          <w:b/>
          <w:color w:val="000000"/>
          <w:sz w:val="20"/>
        </w:rPr>
        <w:t>G</w:t>
      </w:r>
      <w:r>
        <w:rPr>
          <w:rFonts w:ascii="Times New Roman;serif" w:hAnsi="Times New Roman;serif"/>
          <w:b/>
          <w:color w:val="000000"/>
          <w:sz w:val="16"/>
        </w:rPr>
        <w:t>OODWILL</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NTANGIBLE</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the amount by which the purchase price of a business acquisition exceeded the fair values of the net identifiable assets on the date of purchase (see Note F). In accordance with the requirements of Intangibles-Goodwill and Other (“ASC 350”) Goodwill is not amortized. Goodwill is assessed for impairment at least annually, on a reporting unit basis, or when events and circumstances ("triggering event") occur indicating that the recorded goodwill may be impaired. Potential triggering events include macroeconomic conditions, industry and market considerations, financial performance and expectations of projected financial performance and cash flows, and changes in the Company's stock price in relation to the carrying value of its reporting units, among other relevant factors. Adverse changes to these events and circumstances could require the Company to perform an interim impairment test.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result from the Company’s various business acquisitions (see Note G) and certain licensed technologies, and consist of identifiable intangible assets, including completed technology, licensing agreements, patents, customer relationships, trademarks, backlog and non-compete agreements. Intangible assets are reported at cost, net of accumulated amortization and are either amortized on a straight-line basis over their estimated useful lives of up to 12.5 years or over the period the economic benefits of the intangible asset are consumed. </w:t>
      </w: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16"/>
        </w:rPr>
        <w:t>ONG</w:t>
      </w:r>
      <w:r>
        <w:rPr>
          <w:rFonts w:ascii="Times New Roman;serif" w:hAnsi="Times New Roman;serif"/>
          <w:b/>
          <w:color w:val="000000"/>
          <w:sz w:val="20"/>
        </w:rPr>
        <w:t>-</w:t>
      </w:r>
      <w:r>
        <w:rPr>
          <w:rFonts w:ascii="Times New Roman;serif" w:hAnsi="Times New Roman;serif"/>
          <w:b/>
          <w:color w:val="000000"/>
          <w:sz w:val="16"/>
        </w:rPr>
        <w:t>LIVED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SSETS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Long-lived assets primarily include property and equipment, intangible assets and ROU assets. The Company regularly evaluates its long-lived assets for events and circumstances that indicate a potential impairment in accordance with ASC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assets are retired or sold, the related cost and accumulated depreciation are removed from the accounts and any resulting gain or loss is included in the results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ASC 350. During fiscal 2025, 2024 and 2023, the Company capitalized $444, $2,086 and $3,931 of software development costs, respectively. </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NCOME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6"/>
        </w:rPr>
        <w:t>AXES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accounts for income taxes under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RODUCT</w:t>
      </w:r>
      <w:r>
        <w:rPr>
          <w:color w:val="000000"/>
        </w:rPr>
        <w:t xml:space="preserve"> </w:t>
      </w:r>
      <w:r>
        <w:rPr>
          <w:rFonts w:ascii="Times New Roman;serif" w:hAnsi="Times New Roman;serif"/>
          <w:b/>
          <w:color w:val="000000"/>
          <w:sz w:val="20"/>
        </w:rPr>
        <w:t>W</w:t>
      </w:r>
      <w:r>
        <w:rPr>
          <w:rFonts w:ascii="Times New Roman;serif" w:hAnsi="Times New Roman;serif"/>
          <w:b/>
          <w:color w:val="000000"/>
          <w:sz w:val="16"/>
        </w:rPr>
        <w:t>ARRANTY</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CCRUAL</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product sales generally include a 12 to 36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tbl>
      <w:tblPr>
        <w:tblW w:w="7591" w:type="dxa"/>
        <w:jc w:val="left"/>
        <w:tblInd w:w="0" w:type="dxa"/>
        <w:tblLayout w:type="fixed"/>
        <w:tblCellMar>
          <w:top w:w="28" w:type="dxa"/>
          <w:left w:w="28" w:type="dxa"/>
          <w:bottom w:w="28" w:type="dxa"/>
          <w:right w:w="28" w:type="dxa"/>
        </w:tblCellMar>
      </w:tblPr>
      <w:tblGrid>
        <w:gridCol w:w="1440"/>
        <w:gridCol w:w="1264"/>
        <w:gridCol w:w="1271"/>
        <w:gridCol w:w="211"/>
        <w:gridCol w:w="616"/>
        <w:gridCol w:w="109"/>
        <w:gridCol w:w="109"/>
        <w:gridCol w:w="109"/>
        <w:gridCol w:w="109"/>
        <w:gridCol w:w="211"/>
        <w:gridCol w:w="616"/>
        <w:gridCol w:w="109"/>
        <w:gridCol w:w="109"/>
        <w:gridCol w:w="109"/>
        <w:gridCol w:w="109"/>
        <w:gridCol w:w="211"/>
        <w:gridCol w:w="616"/>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ESEARCH</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D</w:t>
      </w:r>
      <w:r>
        <w:rPr>
          <w:rFonts w:ascii="Times New Roman;serif" w:hAnsi="Times New Roman;serif"/>
          <w:b/>
          <w:color w:val="000000"/>
          <w:sz w:val="16"/>
        </w:rPr>
        <w:t>EVELOPMENT</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OSTS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costs are primarily made up of labor charges and prototype material and development expenses.</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rFonts w:ascii="Times New Roman;serif" w:hAnsi="Times New Roman;serif"/>
          <w:b/>
          <w:color w:val="000000"/>
          <w:sz w:val="20"/>
        </w:rPr>
        <w:t>-</w:t>
      </w:r>
      <w:r>
        <w:rPr>
          <w:rFonts w:ascii="Times New Roman;serif" w:hAnsi="Times New Roman;serif"/>
          <w:b/>
          <w:color w:val="000000"/>
          <w:sz w:val="16"/>
        </w:rPr>
        <w:t>BASED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OMPENSATION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cost is measured at the grant date based on the fair value of the award and is recognized as expense over the requisite service period, which generally represents the vesting period, and includes an estimate of the awards that will be forfeited. Stock-based compensation expense for the Company’s performance-based restricted stock awards is amortized over the requisite service period using graded vesting. The Company’s other restricted stock awards recognize expense over the requisite service period on a straight-line basis. </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 xml:space="preserve">ETIREMENT OF </w:t>
      </w:r>
      <w:r>
        <w:rPr>
          <w:rFonts w:ascii="Times New Roman;serif" w:hAnsi="Times New Roman;serif"/>
          <w:b/>
          <w:color w:val="000000"/>
          <w:sz w:val="20"/>
        </w:rPr>
        <w:t>C</w:t>
      </w:r>
      <w:r>
        <w:rPr>
          <w:rFonts w:ascii="Times New Roman;serif" w:hAnsi="Times New Roman;serif"/>
          <w:b/>
          <w:color w:val="000000"/>
          <w:sz w:val="16"/>
        </w:rPr>
        <w:t xml:space="preserve">OMMON </w:t>
      </w:r>
      <w:r>
        <w:rPr>
          <w:rFonts w:ascii="Times New Roman;serif" w:hAnsi="Times New Roman;serif"/>
          <w:b/>
          <w:color w:val="000000"/>
          <w:sz w:val="20"/>
        </w:rPr>
        <w:t>S</w:t>
      </w:r>
      <w:r>
        <w:rPr>
          <w:rFonts w:ascii="Times New Roman;serif" w:hAnsi="Times New Roman;serif"/>
          <w:b/>
          <w:color w:val="000000"/>
          <w:sz w:val="16"/>
        </w:rPr>
        <w:t>TOCK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 that is repurchased or received in connection with the vesting of restricted stock is retired immediately upon the Company’s repurchase. The Company accounts for this under the cost method and upon retirement the excess amount over par value is charged against additional paid-in capital.</w:t>
      </w:r>
    </w:p>
    <w:p>
      <w:pPr>
        <w:pStyle w:val="TextBody"/>
        <w:bidi w:val="0"/>
        <w:spacing w:lineRule="auto" w:line="288" w:before="180" w:after="283"/>
        <w:jc w:val="both"/>
        <w:rPr/>
      </w:pPr>
      <w:r>
        <w:rPr>
          <w:rFonts w:ascii="Times New Roman;serif" w:hAnsi="Times New Roman;serif"/>
          <w:b/>
          <w:color w:val="000000"/>
          <w:sz w:val="20"/>
        </w:rPr>
        <w:t>N</w:t>
      </w:r>
      <w:r>
        <w:rPr>
          <w:rFonts w:ascii="Times New Roman;serif" w:hAnsi="Times New Roman;serif"/>
          <w:b/>
          <w:color w:val="000000"/>
          <w:sz w:val="16"/>
        </w:rPr>
        <w:t>ET</w:t>
      </w:r>
      <w:r>
        <w:rPr>
          <w:color w:val="000000"/>
        </w:rPr>
        <w:t xml:space="preserve"> </w:t>
      </w:r>
      <w:r>
        <w:rPr>
          <w:rFonts w:ascii="Times New Roman;serif" w:hAnsi="Times New Roman;serif"/>
          <w:b/>
          <w:color w:val="000000"/>
          <w:sz w:val="16"/>
        </w:rPr>
        <w:t>(</w:t>
      </w:r>
      <w:r>
        <w:rPr>
          <w:rFonts w:ascii="Times New Roman;serif" w:hAnsi="Times New Roman;serif"/>
          <w:b/>
          <w:color w:val="000000"/>
          <w:sz w:val="20"/>
        </w:rPr>
        <w:t>L</w:t>
      </w:r>
      <w:r>
        <w:rPr>
          <w:rFonts w:ascii="Times New Roman;serif" w:hAnsi="Times New Roman;serif"/>
          <w:b/>
          <w:color w:val="000000"/>
          <w:sz w:val="16"/>
        </w:rPr>
        <w:t xml:space="preserve">OSS) </w:t>
      </w:r>
      <w:r>
        <w:rPr>
          <w:rFonts w:ascii="Times New Roman;serif" w:hAnsi="Times New Roman;serif"/>
          <w:b/>
          <w:color w:val="000000"/>
          <w:sz w:val="20"/>
        </w:rPr>
        <w:t>E</w:t>
      </w:r>
      <w:r>
        <w:rPr>
          <w:rFonts w:ascii="Times New Roman;serif" w:hAnsi="Times New Roman;serif"/>
          <w:b/>
          <w:color w:val="000000"/>
          <w:sz w:val="16"/>
        </w:rPr>
        <w:t>ARNINGS</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ER</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HARE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net (loss) income is the control number for determining whether securities are dilutive or not.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Basic and diluted weighted average shares outstanding were as follows:</w:t>
      </w:r>
      <w:r>
        <w:rPr>
          <w:color w:val="000000"/>
        </w:rPr>
        <w:t> </w:t>
      </w:r>
    </w:p>
    <w:tbl>
      <w:tblPr>
        <w:tblW w:w="7624" w:type="dxa"/>
        <w:jc w:val="left"/>
        <w:tblInd w:w="0" w:type="dxa"/>
        <w:tblLayout w:type="fixed"/>
        <w:tblCellMar>
          <w:top w:w="28" w:type="dxa"/>
          <w:left w:w="28" w:type="dxa"/>
          <w:bottom w:w="28" w:type="dxa"/>
          <w:right w:w="28" w:type="dxa"/>
        </w:tblCellMar>
      </w:tblPr>
      <w:tblGrid>
        <w:gridCol w:w="1368"/>
        <w:gridCol w:w="1204"/>
        <w:gridCol w:w="1208"/>
        <w:gridCol w:w="360"/>
        <w:gridCol w:w="361"/>
        <w:gridCol w:w="311"/>
        <w:gridCol w:w="109"/>
        <w:gridCol w:w="109"/>
        <w:gridCol w:w="109"/>
        <w:gridCol w:w="360"/>
        <w:gridCol w:w="361"/>
        <w:gridCol w:w="311"/>
        <w:gridCol w:w="109"/>
        <w:gridCol w:w="109"/>
        <w:gridCol w:w="109"/>
        <w:gridCol w:w="360"/>
        <w:gridCol w:w="361"/>
        <w:gridCol w:w="405"/>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2023</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56,554 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equity instruments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58,746 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56,554 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Equity instruments to purchase 2,594, 2,501 and 1,852 shares of common stock were not included in the calculation of diluted net earnings per share for the fiscal years ended June 27, 2025, June 28, 2024 and June 30, 2023, respectively, because the equity instruments were anti-dilutive.</w:t>
      </w:r>
    </w:p>
    <w:p>
      <w:pPr>
        <w:pStyle w:val="TextBody"/>
        <w:bidi w:val="0"/>
        <w:spacing w:lineRule="auto" w:line="288" w:before="180" w:after="283"/>
        <w:jc w:val="both"/>
        <w:rPr/>
      </w:pPr>
      <w:r>
        <w:rPr>
          <w:rFonts w:ascii="Times New Roman;serif" w:hAnsi="Times New Roman;serif"/>
          <w:b/>
          <w:color w:val="000000"/>
          <w:sz w:val="20"/>
        </w:rPr>
        <w:t>A</w:t>
      </w:r>
      <w:r>
        <w:rPr>
          <w:rFonts w:ascii="Times New Roman;serif" w:hAnsi="Times New Roman;serif"/>
          <w:b/>
          <w:color w:val="000000"/>
          <w:sz w:val="16"/>
        </w:rPr>
        <w:t>CCUMULATED</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THER</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OMPREHENSIVE (</w:t>
      </w:r>
      <w:r>
        <w:rPr>
          <w:rFonts w:ascii="Times New Roman;serif" w:hAnsi="Times New Roman;serif"/>
          <w:b/>
          <w:color w:val="000000"/>
          <w:sz w:val="20"/>
        </w:rPr>
        <w:t>L</w:t>
      </w:r>
      <w:r>
        <w:rPr>
          <w:rFonts w:ascii="Times New Roman;serif" w:hAnsi="Times New Roman;serif"/>
          <w:b/>
          <w:color w:val="000000"/>
          <w:sz w:val="16"/>
        </w:rPr>
        <w:t xml:space="preserve">OSS) </w:t>
      </w:r>
      <w:r>
        <w:rPr>
          <w:rFonts w:ascii="Times New Roman;serif" w:hAnsi="Times New Roman;serif"/>
          <w:b/>
          <w:color w:val="000000"/>
          <w:sz w:val="20"/>
        </w:rPr>
        <w:t>I</w:t>
      </w:r>
      <w:r>
        <w:rPr>
          <w:rFonts w:ascii="Times New Roman;serif" w:hAnsi="Times New Roman;serif"/>
          <w:b/>
          <w:color w:val="000000"/>
          <w:sz w:val="16"/>
        </w:rPr>
        <w:t>NCOME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(“AOCI”) includes changes in fair value of derivative instruments, foreign currency translation adjustments and pension benefit plan adjustments. The components of AOCI included the change in fair value of derivative instruments, net of tax adjustments and totaled $(4,666), $(833), and $5,856 for the fiscal years ended June 27, 2025, June 28, 2024, and June 30, 2023, respectively. Also included are $(20), $380 and $300 of foreign currency translation adjustments for the fiscal years ended June 27, 2025, June 28, 2024 and June 30, 2023, respectively, and pension benefit plan adjustments totaled $(1,809), $(1,383) and $142 for the fiscal years ended June 27, 2025, June 28, 2024 and June 30,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component of Accumulated other comprehensive income, net of tax is provided below:</w:t>
      </w:r>
    </w:p>
    <w:tbl>
      <w:tblPr>
        <w:tblW w:w="10205" w:type="dxa"/>
        <w:jc w:val="left"/>
        <w:tblInd w:w="0" w:type="dxa"/>
        <w:tblLayout w:type="fixed"/>
        <w:tblCellMar>
          <w:top w:w="28" w:type="dxa"/>
          <w:left w:w="28" w:type="dxa"/>
          <w:bottom w:w="28" w:type="dxa"/>
          <w:right w:w="28" w:type="dxa"/>
        </w:tblCellMar>
      </w:tblPr>
      <w:tblGrid>
        <w:gridCol w:w="887"/>
        <w:gridCol w:w="566"/>
        <w:gridCol w:w="479"/>
        <w:gridCol w:w="109"/>
        <w:gridCol w:w="109"/>
        <w:gridCol w:w="109"/>
        <w:gridCol w:w="383"/>
        <w:gridCol w:w="1118"/>
        <w:gridCol w:w="199"/>
        <w:gridCol w:w="109"/>
        <w:gridCol w:w="109"/>
        <w:gridCol w:w="109"/>
        <w:gridCol w:w="421"/>
        <w:gridCol w:w="1229"/>
        <w:gridCol w:w="218"/>
        <w:gridCol w:w="109"/>
        <w:gridCol w:w="109"/>
        <w:gridCol w:w="109"/>
        <w:gridCol w:w="443"/>
        <w:gridCol w:w="979"/>
        <w:gridCol w:w="230"/>
        <w:gridCol w:w="109"/>
        <w:gridCol w:w="109"/>
        <w:gridCol w:w="109"/>
        <w:gridCol w:w="374"/>
        <w:gridCol w:w="1091"/>
        <w:gridCol w:w="280"/>
      </w:tblGrid>
      <w:tr>
        <w:trPr/>
        <w:tc>
          <w:tcPr>
            <w:tcW w:w="88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compensation and pension benefit plan,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of derivative instruments,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16"/>
        </w:rPr>
        <w:t>OREIGN</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URRENCY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Local currencies are the functional currency for the Company’s subsidiaries in Switzerland, the United Kingdom, and Spain.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non-U.S. currency transactions are included in Other expense, net in the Consolidated Statements of Operations and Comprehensive Loss and were immaterial for all periods presented.</w:t>
      </w:r>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SSUED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 xml:space="preserve">RONOUNCEMENTS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Improvement to Income Tax Disclosures</w:t>
      </w:r>
      <w:r>
        <w:rPr>
          <w:rFonts w:ascii="Times New Roman;serif" w:hAnsi="Times New Roman;serif"/>
          <w:b w:val="false"/>
          <w:color w:val="000000"/>
          <w:sz w:val="20"/>
        </w:rPr>
        <w:t>, an amendment of the FASB Accounting Standards Codification. The amendments in this ASU enact new income tax disclosure requirements in addition to modifying existing requirements. The amendment requires entities to categorize and provide greater disaggregation of information in the rate reconciliation and income taxes paid disclosures. This ASU is effective for fiscal years beginning after December 15, 2024, with early adoption permitted.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March 2024, the FASB issued ASU No. 2024-02, </w:t>
      </w:r>
      <w:r>
        <w:rPr>
          <w:rFonts w:ascii="Times New Roman;serif" w:hAnsi="Times New Roman;serif"/>
          <w:b w:val="false"/>
          <w:i/>
          <w:color w:val="000000"/>
          <w:sz w:val="20"/>
        </w:rPr>
        <w:t>Codification Improvements - Amendments to Remove References to the Concepts Statements</w:t>
      </w:r>
      <w:r>
        <w:rPr>
          <w:rFonts w:ascii="Times New Roman;serif" w:hAnsi="Times New Roman;serif"/>
          <w:b w:val="false"/>
          <w:color w:val="000000"/>
          <w:sz w:val="20"/>
        </w:rPr>
        <w:t>, an amendment of the FASB Accounting Standards Codification. The amendments in this ASU are related to the removal of various references to FASB Concept Statements from the codification to make clear distinctions between authoritative and non-authoritative literature in the codification. This ASU is effective for fiscal years beginning after December 15, 2024, with early adoption permitted. The Company does not believe this standard will have an impact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an amendment of the FASB Accounting Standard Codification. The amendments in this ASU address improvements to disclosures surrounding operating expenses, including purchases of inventory, employee compensation, depreciation, amortization, and depletion, which are all normally included in common expense captions on the face of the income statement. Any expenses remaining in relevant expense captions that are not disaggregated should be accompanied with a qualitative disclosure as to their nature. This ASU is effective for fiscal years beginning after December 15, 2026, and interim reporting periods beginning after December 15, 2027, with early adoption permitted.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rPr>
        <w:t>an amendment of the FASB Accounting Standards Codification. The amendments in this ASU are intended to clarify guidance surrounding who the accounting acquirer is in a business combination, specifically when a Variable Interest Entity ("VIE") is involved. The ASU is effective for fiscal years beginning after December 15, 2026, and all interim periods within applicable annual periods, with early adoption permitted. The Company does not believe this standard will have an impact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DOPTED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RONOUNCEMENTS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Effective March 29, 2025, the company adopted ASU No. 2023-07, </w:t>
      </w:r>
      <w:r>
        <w:rPr>
          <w:rFonts w:ascii="Times New Roman;serif" w:hAnsi="Times New Roman;serif"/>
          <w:b w:val="false"/>
          <w:i/>
          <w:color w:val="000000"/>
          <w:sz w:val="20"/>
        </w:rPr>
        <w:t>Segment Reporting (ASC 280): Improvements to Reportable Segment Disclosures</w:t>
      </w:r>
      <w:r>
        <w:rPr>
          <w:rFonts w:ascii="Times New Roman;serif" w:hAnsi="Times New Roman;serif"/>
          <w:b w:val="false"/>
          <w:color w:val="000000"/>
          <w:sz w:val="20"/>
        </w:rPr>
        <w:t xml:space="preserve">, an amendment of the FASB Accounting Standards Codification. The amendments in this ASU address improvements to reportable segment disclosure requirements, specifically requiring disclosure of significant segment expenses. The amendment also extends certain annual disclosures to interim periods, and clarifies that single reportable segment entities must apply ASC 280 in its entirety, inclusive of this update. This adoption resulted in the Company disclosing it continues to be one reportable segment where the CEO is the Chief Operating Decision Maker ("CODM"), the selected profitability measure is consolidated net income (loss), and a reference that significant segment expenses are provided on the Consolidated Statement of Operations and Comprehensive Loss. The Company's segment assets are reported on the Consolidated Balance Sheets as Total Assets and its segment purchase of property plant and equipment are disclosed in the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C.Fair Value of Financial Instruments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instruments measured at fair value on a recurring basis as of June 27, 2025:</w:t>
      </w:r>
    </w:p>
    <w:tbl>
      <w:tblPr>
        <w:tblW w:w="7235" w:type="dxa"/>
        <w:jc w:val="left"/>
        <w:tblInd w:w="0" w:type="dxa"/>
        <w:tblLayout w:type="fixed"/>
        <w:tblCellMar>
          <w:top w:w="28" w:type="dxa"/>
          <w:left w:w="28" w:type="dxa"/>
          <w:bottom w:w="28" w:type="dxa"/>
          <w:right w:w="28" w:type="dxa"/>
        </w:tblCellMar>
      </w:tblPr>
      <w:tblGrid>
        <w:gridCol w:w="857"/>
        <w:gridCol w:w="755"/>
        <w:gridCol w:w="757"/>
        <w:gridCol w:w="109"/>
        <w:gridCol w:w="109"/>
        <w:gridCol w:w="109"/>
        <w:gridCol w:w="253"/>
        <w:gridCol w:w="741"/>
        <w:gridCol w:w="131"/>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including money market funds, restricted cash, accounts receivable and payable, contract assets and liabilities and accrued liabilities approximate fair value due to the short-term maturities of these assets and liabilities. The Company determined the carrying value of long-term debt approximated fair value due to variable interest rates charged on the borrowings, which reprice frequently.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ended September 29, 2023, the Company entered into an interest rate hedging agreement (the “September 2023 Swap”).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the September 2023 Swap is estimated using a discounted cash flow analysis based on the contractual terms of the derivative, leveraging observable inputs other than quoted prices, such as interest rates. As of June 27, 2025, the fair value of the September 2023 Swap was a liability of $5,391 and is included within Other non-current liabilities in the Company's Consolidated Balance Sheets.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instruments measured at fair value on a recurring basis as of June 28, 2024:</w:t>
      </w:r>
    </w:p>
    <w:tbl>
      <w:tblPr>
        <w:tblW w:w="6862" w:type="dxa"/>
        <w:jc w:val="left"/>
        <w:tblInd w:w="0" w:type="dxa"/>
        <w:tblLayout w:type="fixed"/>
        <w:tblCellMar>
          <w:top w:w="28" w:type="dxa"/>
          <w:left w:w="28" w:type="dxa"/>
          <w:bottom w:w="28" w:type="dxa"/>
          <w:right w:w="28" w:type="dxa"/>
        </w:tblCellMar>
      </w:tblPr>
      <w:tblGrid>
        <w:gridCol w:w="857"/>
        <w:gridCol w:w="755"/>
        <w:gridCol w:w="757"/>
        <w:gridCol w:w="243"/>
        <w:gridCol w:w="711"/>
        <w:gridCol w:w="125"/>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interest rate hedging agreement entered on September 29, 2022 ("the September 2022 Swap") is estimated using a discounted cash flow analysis based on the contractual terms of the derivative, leveraging observable inputs other than quoted prices, such as interest rates. As of June 28, 2024, the fair value of the September 2022 Swap was a liability of $2,436 and included within Other non-current liabilities in the Company's Consolidated Balance Sheets. The Company terminated the September 2022 Swap during the first quarter ended September 29, 2023.</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Note Q for further information regarding the September 2023 Swap and the termination of the September 2022 Swap.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D.</w:t>
      </w:r>
      <w:r>
        <w:rPr>
          <w:rFonts w:ascii="Times New Roman;serif" w:hAnsi="Times New Roman;serif"/>
          <w:b/>
          <w:color w:val="000000"/>
          <w:sz w:val="20"/>
        </w:rPr>
        <w:t>Inventory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reclassified $12,675 of work in process inventory to Property and equipment, net to support broader customer outreach for its technologies and to meet anticipated production demands for its solutions through additional testing capabilities. Fiscal 2025 includes the impact of $10,579 of inventory sold in connection to the sale of manufacturing operations to Cicor Group. Inventory was comprised of the following:</w:t>
      </w:r>
    </w:p>
    <w:tbl>
      <w:tblPr>
        <w:tblW w:w="4089"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E.Property and Equipment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9411" w:type="dxa"/>
        <w:jc w:val="left"/>
        <w:tblInd w:w="0" w:type="dxa"/>
        <w:tblLayout w:type="fixed"/>
        <w:tblCellMar>
          <w:top w:w="28" w:type="dxa"/>
          <w:left w:w="28" w:type="dxa"/>
          <w:bottom w:w="28" w:type="dxa"/>
          <w:right w:w="28" w:type="dxa"/>
        </w:tblCellMar>
      </w:tblPr>
      <w:tblGrid>
        <w:gridCol w:w="1054"/>
        <w:gridCol w:w="925"/>
        <w:gridCol w:w="931"/>
        <w:gridCol w:w="1168"/>
        <w:gridCol w:w="1168"/>
        <w:gridCol w:w="1174"/>
        <w:gridCol w:w="109"/>
        <w:gridCol w:w="109"/>
        <w:gridCol w:w="109"/>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br/>
              <w:t>(Years)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10" w:type="dxa"/>
            <w:gridSpan w:val="3"/>
            <w:vMerge w:val="continue"/>
            <w:tcBorders/>
            <w:tcMar>
              <w:top w:w="0" w:type="dxa"/>
              <w:left w:w="0" w:type="dxa"/>
              <w:bottom w:w="0" w:type="dxa"/>
              <w:right w:w="0" w:type="dxa"/>
            </w:tcMar>
            <w:vAlign w:val="center"/>
          </w:tcPr>
          <w:p>
            <w:pPr>
              <w:pStyle w:val="Normal"/>
              <w:bidi w:val="0"/>
              <w:jc w:val="left"/>
              <w:rPr/>
            </w:pPr>
            <w:r>
              <w:rPr/>
            </w:r>
          </w:p>
        </w:tc>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$8,913 decrease in Property and equipment, net was primarily due to depreciation expense and was partially offset by current year additions of $19,803. During fiscal 2025 and 2024, the Company retired $991 and $1,308, respectively, of computer equipment and software, furniture and fixtures, leasehold improvements, and machinery and equipment that were no longer in use by the Company.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for the fiscal years ended June 27, 2025, June 28, 2024 and June 30, 2023 was $39,178, $40,369 and $43,777,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F.</w:t>
      </w:r>
      <w:r>
        <w:rPr>
          <w:rFonts w:ascii="Times New Roman;serif" w:hAnsi="Times New Roman;serif"/>
          <w:b/>
          <w:color w:val="000000"/>
          <w:sz w:val="20"/>
        </w:rPr>
        <w:t>Goodwill</w:t>
      </w:r>
    </w:p>
    <w:p>
      <w:pPr>
        <w:pStyle w:val="TextBody"/>
        <w:bidi w:val="0"/>
        <w:spacing w:lineRule="auto" w:line="288" w:before="100" w:after="283"/>
        <w:ind w:left="0" w:right="0" w:firstLine="495"/>
        <w:jc w:val="both"/>
        <w:rPr/>
      </w:pPr>
      <w:r>
        <w:rPr>
          <w:color w:val="000000"/>
        </w:rPr>
        <w:t>    </w:t>
      </w:r>
      <w:r>
        <w:rPr>
          <w:rFonts w:ascii="Times New Roman;serif" w:hAnsi="Times New Roman;serif"/>
          <w:b w:val="false"/>
          <w:color w:val="000000"/>
          <w:sz w:val="20"/>
        </w:rPr>
        <w:t xml:space="preserve">In accordance with FASB ASC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across two reporting units: Mission Systems and Microelectronics. Accordingly, these were determined to be the Company's reporting units which is consistent with the prior period. There were no adjustments to the carrying value of Goodwill during fiscal 2025 and 2024.</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annual goodwill impairment test in the fourth quarter of fiscal 2025. Based on the quantitative evaluation, the Company determined that the Mission Systems and Microelectronics reporting units had estimated fair values that substantially exceeded their carrying values. The Company concluded that its goodwill was not impaired.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perform the next annual goodwill impairment analysis during the fourth quarter of fiscal year 2026. Adverse changes to the underlying information assumptions used in its assessment of potential triggering events could require the Company to perform an interim impairment test. If assumed revenue growth rate and cash flow projections are not achieved in future periods or the Company’s common stock price significantly declines from current levels, among other factors, its Mission Systems and Microelectronics reporting units could be at risk of failing the quantitative assessment and goodwill assigned to the respective reporting units could be impaired. Any impairment charges that the Company may record in the future could be material to its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G.Intangible Assets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8333" w:type="dxa"/>
        <w:jc w:val="left"/>
        <w:tblInd w:w="0" w:type="dxa"/>
        <w:tblLayout w:type="fixed"/>
        <w:tblCellMar>
          <w:top w:w="28" w:type="dxa"/>
          <w:left w:w="28" w:type="dxa"/>
          <w:bottom w:w="28" w:type="dxa"/>
          <w:right w:w="28" w:type="dxa"/>
        </w:tblCellMar>
      </w:tblPr>
      <w:tblGrid>
        <w:gridCol w:w="1034"/>
        <w:gridCol w:w="912"/>
        <w:gridCol w:w="918"/>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85"/>
        <w:gridCol w:w="285"/>
        <w:gridCol w:w="405"/>
      </w:tblGrid>
      <w:tr>
        <w:trPr/>
        <w:tc>
          <w:tcPr>
            <w:tcW w:w="103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Useful</w:t>
              <w:br/>
              <w:t>Life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27,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agreements and patents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years</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28, 2024</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years</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agreements and 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intangible assets remaining at June 27, 2025 is as follows:</w:t>
      </w:r>
    </w:p>
    <w:tbl>
      <w:tblPr>
        <w:tblW w:w="4927" w:type="dxa"/>
        <w:jc w:val="left"/>
        <w:tblInd w:w="0" w:type="dxa"/>
        <w:tblLayout w:type="fixed"/>
        <w:tblCellMar>
          <w:top w:w="28" w:type="dxa"/>
          <w:left w:w="28" w:type="dxa"/>
          <w:bottom w:w="28" w:type="dxa"/>
          <w:right w:w="28" w:type="dxa"/>
        </w:tblCellMar>
      </w:tblPr>
      <w:tblGrid>
        <w:gridCol w:w="1033"/>
        <w:gridCol w:w="907"/>
        <w:gridCol w:w="924"/>
        <w:gridCol w:w="109"/>
        <w:gridCol w:w="109"/>
        <w:gridCol w:w="109"/>
        <w:gridCol w:w="211"/>
        <w:gridCol w:w="826"/>
        <w:gridCol w:w="109"/>
        <w:gridCol w:w="109"/>
        <w:gridCol w:w="109"/>
        <w:gridCol w:w="109"/>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reviews net intangible assets with finite lives for impairment when an event occurs indicating the potential for impairment. Based on the Company’s last assessment, the Company believes that the carrying values of net intangible assets were recoverable as of June 27, 2025. However, if business conditions deteriorate, the Company may be required to record impairment losses, and or increase the amortization of intangibles in the future. Any impairment charges that the Company may record in the future could be material to the results of operations and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acquired completed technologies of $4,866 with a useful life of 7.5 years in connection with the Company's asset acquisition of Star Lab.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H.</w:t>
      </w:r>
      <w:r>
        <w:rPr>
          <w:rFonts w:ascii="Times New Roman;serif" w:hAnsi="Times New Roman;serif"/>
          <w:b/>
          <w:color w:val="000000"/>
          <w:sz w:val="20"/>
        </w:rPr>
        <w:t>Restructuring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incurred $7,216 of restructuring charges in connection with workforce reductions that eliminated approximately 145 positions.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incurs restructuring and other charges in connection with management's decision to undertake certain actions to realign operating expenses through workforce reductions and the closure of certain Company facilities, businesses and product lines. The Company's adjustments reflected in restructuring and other charges are typically related to organizational redesign programs or discrete post-acquisition integration activities initiated as part of discrete post acquisition integration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85fbab4b39f490a947cf0bf74aa845a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initiated several immediate cost savings measures that simplify the Company’s organizational structure, facilitate clearer accountability, and align to the Company’s priorities, including: (i) embedding the 1MPACT value creation initiatives and execution into the Company’s operations; (ii) streamlining organizational structure and removing areas of redundancy between corporate and divisional organizations; and (iii) reducing selling, general, and administrative headcount and rebalancing discretionary and third party spending to better align with the Company’s priority areas. On July 20, 2023, the Company executed the plan to embed the 1MPACT value creation initiatives into operations. On August 9, 2023, the Company approved and initiated a workforce reduction that, together with the 1MPACT related action, eliminated approximately 150 positions resulting in $9,548 of severance costs during fiscal 2024. On January 12, 2024, the Company approved and initiated workforce reductions that eliminated approximately 100 positions resulting in an additional $9,841 of severance costs during fiscal 2024. On June 17, 2024, the Company approved and initiated workforce reductions that eliminated an additional 100 positions, resulting in an additional $6,781 of severance costs in fiscal 2024. The workforce reductions that eliminated approximately 350 positions in fiscal 2024 were across manufacturing, SG&amp;A and R&amp;D based on ongoing talent and workforce optimization efforts.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of the restructuring and other charges are classified as Operating expenses in the Consolidated Statements of Operations and Comprehensive (Loss) Income and any remaining severance obligations are expected to be paid within the next twelve months. The remaining restructuring liability is classified as Accrued expenses in the Consolidated Balance Sheets.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charges included in the Company’s liability for restructuring and other charges:</w:t>
      </w:r>
    </w:p>
    <w:tbl>
      <w:tblPr>
        <w:tblW w:w="5414" w:type="dxa"/>
        <w:jc w:val="left"/>
        <w:tblInd w:w="0" w:type="dxa"/>
        <w:tblLayout w:type="fixed"/>
        <w:tblCellMar>
          <w:top w:w="28" w:type="dxa"/>
          <w:left w:w="28" w:type="dxa"/>
          <w:bottom w:w="28" w:type="dxa"/>
          <w:right w:w="28" w:type="dxa"/>
        </w:tblCellMar>
      </w:tblPr>
      <w:tblGrid>
        <w:gridCol w:w="1201"/>
        <w:gridCol w:w="1055"/>
        <w:gridCol w:w="1058"/>
        <w:gridCol w:w="365"/>
        <w:gridCol w:w="1066"/>
        <w:gridCol w:w="188"/>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&amp;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June 30, 2023</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June 28, 2024</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liability at June 27, 2025</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w:t>
      </w:r>
      <w:r>
        <w:rPr>
          <w:rFonts w:ascii="Times New Roman;serif" w:hAnsi="Times New Roman;serif"/>
          <w:b/>
          <w:color w:val="000000"/>
          <w:sz w:val="20"/>
        </w:rPr>
        <w:t xml:space="preserve">Leases </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The Company enters into lease arrangements to facilitate its operations, including manufacturing, storage, as well as engineering, sales, marketing and administration resources. </w:t>
      </w:r>
      <w:r>
        <w:rPr>
          <w:rFonts w:ascii="Times New Roman;serif" w:hAnsi="Times New Roman;serif"/>
          <w:b w:val="false"/>
          <w:color w:val="000000"/>
          <w:sz w:val="20"/>
        </w:rPr>
        <w:t xml:space="preserve">The Company measures its lease obligations in accordance with ASC 842, which requires lessees to record a ROU asset and lease liability for most lease arrangements. </w:t>
      </w:r>
      <w:r>
        <w:rPr>
          <w:rFonts w:ascii="Times New Roman;serif" w:hAnsi="Times New Roman;serif"/>
          <w:b w:val="false"/>
          <w:color w:val="000000"/>
          <w:sz w:val="20"/>
          <w:shd w:fill="FFFFFF" w:val="clear"/>
        </w:rPr>
        <w:t>Finance leases are not material to the Company's consolidated financial statements and therefore are excluded from the following disclosures.</w:t>
      </w:r>
    </w:p>
    <w:p>
      <w:pPr>
        <w:pStyle w:val="TextBody"/>
        <w:bidi w:val="0"/>
        <w:spacing w:lineRule="auto" w:line="288" w:before="100" w:after="283"/>
        <w:jc w:val="both"/>
        <w:rPr/>
      </w:pPr>
      <w:r>
        <w:rPr>
          <w:rFonts w:ascii="Times New Roman;serif" w:hAnsi="Times New Roman;serif"/>
          <w:b w:val="false"/>
          <w:color w:val="000000"/>
          <w:sz w:val="20"/>
        </w:rPr>
        <w:t>S</w:t>
      </w:r>
      <w:r>
        <w:rPr>
          <w:rFonts w:ascii="Times New Roman;serif" w:hAnsi="Times New Roman;serif"/>
          <w:b w:val="false"/>
          <w:color w:val="000000"/>
          <w:sz w:val="16"/>
        </w:rPr>
        <w:t>UPPLEMENTAL</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ALANCE</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HEET</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NFORMATION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Supplemental operating lease balance sheet information is summarized as follows:</w:t>
      </w:r>
    </w:p>
    <w:tbl>
      <w:tblPr>
        <w:tblW w:w="6172" w:type="dxa"/>
        <w:jc w:val="left"/>
        <w:tblInd w:w="0" w:type="dxa"/>
        <w:tblLayout w:type="fixed"/>
        <w:tblCellMar>
          <w:top w:w="28" w:type="dxa"/>
          <w:left w:w="28" w:type="dxa"/>
          <w:bottom w:w="28" w:type="dxa"/>
          <w:right w:w="28" w:type="dxa"/>
        </w:tblCellMar>
      </w:tblPr>
      <w:tblGrid>
        <w:gridCol w:w="1168"/>
        <w:gridCol w:w="1025"/>
        <w:gridCol w:w="1031"/>
        <w:gridCol w:w="109"/>
        <w:gridCol w:w="109"/>
        <w:gridCol w:w="109"/>
        <w:gridCol w:w="228"/>
        <w:gridCol w:w="779"/>
        <w:gridCol w:w="117"/>
        <w:gridCol w:w="109"/>
        <w:gridCol w:w="109"/>
        <w:gridCol w:w="109"/>
        <w:gridCol w:w="227"/>
        <w:gridCol w:w="777"/>
        <w:gridCol w:w="166"/>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r>
        <w:rPr>
          <w:rFonts w:ascii="Times New Roman;serif" w:hAnsi="Times New Roman;serif"/>
          <w:b w:val="false"/>
          <w:color w:val="000000"/>
          <w:sz w:val="16"/>
        </w:rPr>
        <w:t>(1) The short term portion of the Operating lease liabilities is included within Accrued expenses on the Consolidated Balance Sheet.</w:t>
      </w:r>
    </w:p>
    <w:p>
      <w:pPr>
        <w:pStyle w:val="TextBody"/>
        <w:bidi w:val="0"/>
        <w:spacing w:lineRule="auto" w:line="288" w:before="100" w:after="283"/>
        <w:jc w:val="left"/>
        <w:rPr/>
      </w:pPr>
      <w:r>
        <w:rPr>
          <w:rFonts w:ascii="Times New Roman;serif" w:hAnsi="Times New Roman;serif"/>
          <w:b w:val="false"/>
          <w:color w:val="000000"/>
          <w:sz w:val="20"/>
        </w:rPr>
        <w:t>O</w:t>
      </w:r>
      <w:r>
        <w:rPr>
          <w:rFonts w:ascii="Times New Roman;serif" w:hAnsi="Times New Roman;serif"/>
          <w:b w:val="false"/>
          <w:color w:val="000000"/>
          <w:sz w:val="16"/>
        </w:rPr>
        <w:t>THER</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UPPLEMENTAL</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NFORMATION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supplemental operating lease information is summarized as follows:</w:t>
      </w:r>
    </w:p>
    <w:tbl>
      <w:tblPr>
        <w:tblW w:w="9735" w:type="dxa"/>
        <w:jc w:val="left"/>
        <w:tblInd w:w="0" w:type="dxa"/>
        <w:tblLayout w:type="fixed"/>
        <w:tblCellMar>
          <w:top w:w="28" w:type="dxa"/>
          <w:left w:w="28" w:type="dxa"/>
          <w:bottom w:w="28" w:type="dxa"/>
          <w:right w:w="28" w:type="dxa"/>
        </w:tblCellMar>
      </w:tblPr>
      <w:tblGrid>
        <w:gridCol w:w="2404"/>
        <w:gridCol w:w="2107"/>
        <w:gridCol w:w="2119"/>
        <w:gridCol w:w="109"/>
        <w:gridCol w:w="109"/>
        <w:gridCol w:w="109"/>
        <w:gridCol w:w="211"/>
        <w:gridCol w:w="721"/>
        <w:gridCol w:w="271"/>
        <w:gridCol w:w="109"/>
        <w:gridCol w:w="109"/>
        <w:gridCol w:w="109"/>
        <w:gridCol w:w="211"/>
        <w:gridCol w:w="721"/>
        <w:gridCol w:w="316"/>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Fiscal Year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new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85fbab4b39f490a947cf0bf74aa845a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pPr>
      <w:r>
        <w:rPr>
          <w:rFonts w:ascii="Times New Roman;serif" w:hAnsi="Times New Roman;serif"/>
          <w:b w:val="false"/>
          <w:color w:val="000000"/>
          <w:sz w:val="20"/>
        </w:rPr>
        <w:t>M</w:t>
      </w:r>
      <w:r>
        <w:rPr>
          <w:rFonts w:ascii="Times New Roman;serif" w:hAnsi="Times New Roman;serif"/>
          <w:b w:val="false"/>
          <w:color w:val="000000"/>
          <w:sz w:val="16"/>
        </w:rPr>
        <w:t>ATURITIES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L</w:t>
      </w:r>
      <w:r>
        <w:rPr>
          <w:rFonts w:ascii="Times New Roman;serif" w:hAnsi="Times New Roman;serif"/>
          <w:b w:val="false"/>
          <w:color w:val="000000"/>
          <w:sz w:val="16"/>
        </w:rPr>
        <w:t>EASE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OMMITMENTS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commitments as of June 27, 2025 were as follows:</w:t>
      </w:r>
    </w:p>
    <w:tbl>
      <w:tblPr>
        <w:tblW w:w="4922" w:type="dxa"/>
        <w:jc w:val="left"/>
        <w:tblInd w:w="0" w:type="dxa"/>
        <w:tblLayout w:type="fixed"/>
        <w:tblCellMar>
          <w:top w:w="28" w:type="dxa"/>
          <w:left w:w="28" w:type="dxa"/>
          <w:bottom w:w="28" w:type="dxa"/>
          <w:right w:w="28" w:type="dxa"/>
        </w:tblCellMar>
      </w:tblPr>
      <w:tblGrid>
        <w:gridCol w:w="1268"/>
        <w:gridCol w:w="1113"/>
        <w:gridCol w:w="1128"/>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2025, 2024 and 2023 the Company recognized operating lease expense of $14,587, $13,775, and $13,763, respectively. There were no material restrictions, covenants, sale and leaseback transactions, variable lease payments or residual value guarantees imposed by the Company's leases at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J.</w:t>
      </w:r>
      <w:r>
        <w:rPr>
          <w:rFonts w:ascii="Times New Roman;serif" w:hAnsi="Times New Roman;serif"/>
          <w:b/>
          <w:color w:val="000000"/>
          <w:sz w:val="20"/>
        </w:rPr>
        <w:t>Income Taxes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(loss) income before income taxes and income tax (benefit) provision were as follows:</w:t>
      </w:r>
    </w:p>
    <w:tbl>
      <w:tblPr>
        <w:tblW w:w="7136" w:type="dxa"/>
        <w:jc w:val="left"/>
        <w:tblInd w:w="0" w:type="dxa"/>
        <w:tblLayout w:type="fixed"/>
        <w:tblCellMar>
          <w:top w:w="28" w:type="dxa"/>
          <w:left w:w="28" w:type="dxa"/>
          <w:bottom w:w="28" w:type="dxa"/>
          <w:right w:w="28" w:type="dxa"/>
        </w:tblCellMar>
      </w:tblPr>
      <w:tblGrid>
        <w:gridCol w:w="1080"/>
        <w:gridCol w:w="948"/>
        <w:gridCol w:w="956"/>
        <w:gridCol w:w="211"/>
        <w:gridCol w:w="796"/>
        <w:gridCol w:w="109"/>
        <w:gridCol w:w="109"/>
        <w:gridCol w:w="109"/>
        <w:gridCol w:w="109"/>
        <w:gridCol w:w="211"/>
        <w:gridCol w:w="901"/>
        <w:gridCol w:w="109"/>
        <w:gridCol w:w="109"/>
        <w:gridCol w:w="109"/>
        <w:gridCol w:w="109"/>
        <w:gridCol w:w="211"/>
        <w:gridCol w:w="79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provision: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the reconciliation between the federal statutory income tax rate and the Company’s effective income tax rate:</w:t>
      </w:r>
    </w:p>
    <w:tbl>
      <w:tblPr>
        <w:tblW w:w="7545" w:type="dxa"/>
        <w:jc w:val="left"/>
        <w:tblInd w:w="0" w:type="dxa"/>
        <w:tblLayout w:type="fixed"/>
        <w:tblCellMar>
          <w:top w:w="28" w:type="dxa"/>
          <w:left w:w="28" w:type="dxa"/>
          <w:bottom w:w="28" w:type="dxa"/>
          <w:right w:w="28" w:type="dxa"/>
        </w:tblCellMar>
      </w:tblPr>
      <w:tblGrid>
        <w:gridCol w:w="1546"/>
        <w:gridCol w:w="1362"/>
        <w:gridCol w:w="1367"/>
        <w:gridCol w:w="293"/>
        <w:gridCol w:w="293"/>
        <w:gridCol w:w="271"/>
        <w:gridCol w:w="109"/>
        <w:gridCol w:w="109"/>
        <w:gridCol w:w="109"/>
        <w:gridCol w:w="293"/>
        <w:gridCol w:w="293"/>
        <w:gridCol w:w="271"/>
        <w:gridCol w:w="109"/>
        <w:gridCol w:w="109"/>
        <w:gridCol w:w="109"/>
        <w:gridCol w:w="293"/>
        <w:gridCol w:w="293"/>
        <w:gridCol w:w="316"/>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at federal statutory rates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tax benefit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provision related to stock compensation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rate differential</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unrecognized income tax benefits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2025 differed from the federal statutory rate primarily due to federal and state research and development tax credits, releases to reserves for unrecognized income tax benefits and state taxes, partially offset by tax provisions related to stock compensation.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fiscal 2024 differed from the federal statutory rate primarily due to federal and state research and development tax credits and state taxes, partially offset by tax provisions related to stock compensation.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fiscal 2023 differed from the federal statutory rate primarily due to federal and state research and development tax credits, releases to reserves for unrecognized income tax benefits and state taxes, partially offset by valuation allowances recorded and tax provisions related to stock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net deferred tax assets (liabilities) were as follows:</w:t>
      </w:r>
    </w:p>
    <w:tbl>
      <w:tblPr>
        <w:tblW w:w="8215" w:type="dxa"/>
        <w:jc w:val="left"/>
        <w:tblInd w:w="0" w:type="dxa"/>
        <w:tblLayout w:type="fixed"/>
        <w:tblCellMar>
          <w:top w:w="28" w:type="dxa"/>
          <w:left w:w="28" w:type="dxa"/>
          <w:bottom w:w="28" w:type="dxa"/>
          <w:right w:w="28" w:type="dxa"/>
        </w:tblCellMar>
      </w:tblPr>
      <w:tblGrid>
        <w:gridCol w:w="2029"/>
        <w:gridCol w:w="1779"/>
        <w:gridCol w:w="1786"/>
        <w:gridCol w:w="228"/>
        <w:gridCol w:w="779"/>
        <w:gridCol w:w="117"/>
        <w:gridCol w:w="109"/>
        <w:gridCol w:w="109"/>
        <w:gridCol w:w="109"/>
        <w:gridCol w:w="227"/>
        <w:gridCol w:w="777"/>
        <w:gridCol w:w="166"/>
      </w:tblGrid>
      <w:tr>
        <w:trPr/>
        <w:tc>
          <w:tcPr>
            <w:tcW w:w="202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and receivable allowances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research and development tax credit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net operating loss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net operating loss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June 27, 2025, the Company has gross state research and development tax credit carryforwards of $16,443, $12,990 net of federal benefit, of which a portion will expire each fiscal year through fiscal year 2040. The Company maintains a valuation allowance on the majority of the Company’s state research and development tax credit carryforwards. The Company has gross federal research and development tax credit carryforwards of $5,351, of which a portion will expire starting in fiscal year 2039.</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June 27, 2025, the Company has gross interest expense carryforwards of $42,877, which have an indefinite life, gross state net operating loss carryforwards of $47,591, which will expire starting in fiscal year 2040 and gross foreign net operating loss carryforwards of $21,226 which will expire starting in fiscal year 2028. The Company maintains a valuation allowance on all foreign net operating loss carryforwards.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(federal and state) and various foreign jurisdictions that it operates in. The Company has established income tax reserves for potential additional income taxes based upon management’s assessment, including recognition and measurement. All income tax reserves are analyzed quarterly, and adjustments are made as events occur and warrant modification.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changes in the Company’s income tax reserves for gross unrecognized income tax benefits, including interest and penalties, are summarized as follows:</w:t>
      </w:r>
    </w:p>
    <w:tbl>
      <w:tblPr>
        <w:tblW w:w="7943" w:type="dxa"/>
        <w:jc w:val="left"/>
        <w:tblInd w:w="0" w:type="dxa"/>
        <w:tblLayout w:type="fixed"/>
        <w:tblCellMar>
          <w:top w:w="28" w:type="dxa"/>
          <w:left w:w="28" w:type="dxa"/>
          <w:bottom w:w="28" w:type="dxa"/>
          <w:right w:w="28" w:type="dxa"/>
        </w:tblCellMar>
      </w:tblPr>
      <w:tblGrid>
        <w:gridCol w:w="2067"/>
        <w:gridCol w:w="1812"/>
        <w:gridCol w:w="1820"/>
        <w:gridCol w:w="211"/>
        <w:gridCol w:w="616"/>
        <w:gridCol w:w="109"/>
        <w:gridCol w:w="109"/>
        <w:gridCol w:w="109"/>
        <w:gridCol w:w="109"/>
        <w:gridCol w:w="211"/>
        <w:gridCol w:w="61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taken related to a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taken during the current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tax positions taken related to a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as a result of a lapse of the applicable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$4,046 of unrecognized tax benefits as of June 27, 2025. If released, all $4,046 of these unrecognized income tax benefits would reduce the Company's income tax provision.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includes interest and penalties related to unrecognized tax benefits within the provision for income taxes. The total amount of interest and penalties accrued was $878 and $1,374 as of June 27, 2025 and June 28, 2024, respectively, and the amount of interest and penalties (released) accrued and recognized was $(496) and $791 during June 27, 2025 and June 28, 2024,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major tax jurisdiction is the U.S. (Federal and state) and the open tax years are fiscal 2019 through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K.</w:t>
      </w:r>
      <w:r>
        <w:rPr>
          <w:rFonts w:ascii="Times New Roman;serif" w:hAnsi="Times New Roman;serif"/>
          <w:b/>
          <w:color w:val="000000"/>
          <w:sz w:val="20"/>
        </w:rPr>
        <w:t>Commitments and Contingencies</w:t>
      </w: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16"/>
        </w:rPr>
        <w:t>EGAL</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LAIMS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litigation, claims, investigations and audits arising from time to time in the ordinary course of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7, 2021, counsel for National Technical Systems, Inc. (“NTS”) sent the Company an environmental demand letter pursuant to Massachusetts General Laws Chapter 21E, Section 4A, and CERCLA 42 U.S.C. Section 9601, related to a site that NTS formerly owned at 533 Main Street, Acton, Massachusetts. NTS received a Notice of Responsibility from the Massachusetts Department of Environmental Protection (“MassDEP”) alleging trichloroethene, freon and 1,4-dioxane contamination in the groundwater emanating from NTS’s former site. NTS alleges in its demand letter that the operations of a predecessor company to Mercury that was acquired in the Company's acquisition of the Microsemi Carve-Out Business that once owned and operated a facility at 531 Main Street, Acton, Massachusetts contributed to the groundwater contamination. NTS is seeking payment from the Company of NTS’s costs for any required environmental remediation. In April 2022, the Company engaged in a meet and confer session with NTS pursuant to Massachusetts General Laws Chapter 21E, Section 4A to discuss the status of the environmental review performed by NTS and its licensed site professional. The Company subsequently delivered a letter to NTS outlining the deficiencies in their claim and reiterated that the Company is not obligated to tender a substantive response to their demand without first having received the responsive information requested in connection with the meet and confer session. In April 2024, counsel for NTS sent additional communications on their demand that the Company participate in their environmental monitoring and remediation planning, and in May 2024, the Company responded with a rebuttal of the allegations. The Company believes the NTS claims are without merit and intends to defend itself vigorously. In addition, in November 2021, the Company responded to a request for information from MassDEP regarding the detection of PFAS (per- and polyfluoroakyl substances) in the Acton, Massachusetts Water District’s Conant public water supply wells near the former facility at 531 Main Street, Acton, Massachusetts at a level above the standard that MassDEP published for PFAS in October 2020. The Company has not been contacted by MassDEP since the response was provided in November 2021. It is too early to determine what responsibility, if any, the Company may have for these environmental matters. While the Company has not received any communications on these environmental matters in over a year, the Company assesses them each quarter and plans to only continue reporting updates in the Company's quarterly reports only when there is an update on the claims.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June 19, 2023, the Board of Directors received notice of the Company's former CEO’s resignation from his positions of President and Chief Executive Officer. The Board accepted his resignation effective June 24, 2023. In his notice, the former CEO claimed he was entitled to certain benefits, including equity vesting, severance, and other benefits, under his change in control severance agreement (the “CIC Agreement”) because he had resigned with good reason during a potential change in control period. The Company disputes these claims and maintains that he resigned without good reason. On September 19, 2023, the former CEO filed for binding arbitration under the employment rules of the American Arbitration Association (“AAA”). An arbitrator was appointed on November 29, 2023. On March 25, 2024, the arbitrator denied the former CEO’s motion for compensation during the dispute and payment of his legal fees, preserving those matters for the arbitration hearing. An arbitration hearing was conducted from March 31 through April 9, 2025. Following the arbitration hearing, the parties filed post-hearing briefs on May 16, response briefs on June 13 and conducted oral arguments on June 30, 2025. Unless the arbitrator requests additional time, and the parties' consent to such request, the arbitrator is expected to deliver a ruling on the claims no than August 14, 2025. The Company continue to contest vigorously the claims under the CIC Agreement and believes that the Company has strong arguments that the former CEO’s claims lack merit. If the arbitrator rules in the Company's favor, the Company may still need to pay the former CEO’s reasonable legal fees, interest, and compensation during the dispute. If instead the arbitrator rules for the former CEO, the Company could be liable for up to approximately $14,100, based on the closing price of the Company's common stock on June 26, 2023, for accelerated equity vesting, severance, and other benefits under the CIC Agreement, plus interest, legal fees and expenses and compensation during dispute, which could include the former CEO's base salary and other amounts based on the compensation, benefit and insurance plans in which he participated. The Company categorically denies any wrongdoing or liability under the CIC Agreement, but the outcome of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arbitration is inherently uncertain. Accordingly, it is reasonably possible that the Company will incur a liability in this matter, and the Company estimates the potential range of exposure from $0 to $14,100, plus costs and attorneys’ fees and compensation to the former CEO during the dispute.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13, 2023, a securities class action complaint was filed against the Company, Mark Aslett, and Michael Ruppert in the U.S. District Court for the District of Massachusetts. The complaint asserted Section 10(b) and 20(a) securities fraud claims on behalf of a purported class of purchasers and sellers of the Company's stock from December 7, 2020, through June 23, 2023. The complaint alleged that the Company's public disclosures in SEC filings and on earnings calls were false and/or misleading. On February 27, 2024, the Court entered an order appointing Carpenters Pension Trust Fund for Northern California as lead plaintiff. On April 18, 2024, the lead plaintiff filed an amended complaint including William Ballhaus and David Farnsworth as additional defendants and amended the class period to February 3, 2021 through February 6, 2024. The Company filed a motion to dismiss on May 24, 2024, and after the plaintiffs’ filed their opposition motion and the Company filed its reply to their opposition, a hearing on the motion was conducted by the Court on July 24, 2024. On July 24, 2024, the Court dismissed the case without prejudice and permitted the plaintiffs 30 days to file an amended complaint. The plaintiffs filed for leave to amend their complaint on August 23, 2024, the Company filed its opposition motion on September 6th, the plaintiffs filed their response brief on September 17, 2024, and the Company filed its reply on September 30, 2024. On February 20, 2025, the Court issued an order that dismissed claims relating to 14 of 17 challenged statements and that allowed the remaining three challenged statements to proceed. The Court also dismissed Messrs. Ruppert and Farnsworth from the lawsuit. The parties are in the discovery process. Subject to the terms of our by-laws and applicable Massachusetts law, Mr. Aslett and Mr. Ballhaus are indemnified by the Company for the federal securities class action.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11, 2024, the Company received a shareholder derivative demand on behalf of Robert Sawyer alleging substantially the same claims as those covered in the federal securities class action. On November 14, 2024, the Company entered into a tolling agreement on this derivative demand. On February 28, 2025, the Company received a derivative demand on behalf of James Jones alleging substantially the same claims as those covered in the federal securities class action and the Robert Sawyer derivative demand. On May 20, 2025, the Board of Directors formed a Special Investigation Committee of independent directors to investigate the subject matters of the demand letters. On June 6, 2025, James Jones, on behalf of nominal defendant Mercury Systems, Inc., filed a derivative complaint in Massachusetts Superior Court in Essex County against Mark Aslett, Michael Ruppert, William Ballhaus, David Farnsworth, Orlando Carvalho, Lisa Disbrow, Barry Nearhos, Howard Lance, Debora Plunkett, Gerard DeMuro, Scott Ostfeld, Roger Krone, William O’Brien, Vincent Vitto, James Bass, Michael Daniels, and Mary Louise Krakauer, all current or former Mercury officers or directors. This derivative action has been stayed while the Special Investigation Committee conducts its investigation. On July 17, 2025, the Company received a derivative demand on behalf of Pauline McKinnon alleging substantially the same claims as those covered in the federal securities class action and the James Jones and Robert Sawyer derivative demands. The Company believes the claims in the federal securities class action, derivative demands, and derivative action are without merit and intend to defend itself vigorously. It is too early to determine what responsibility, if any, the Company will have for this matter.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January 31, 2024, a former employee at the Company's Torrance, California location, filed a wage and hour class action lawsuit in California state court in Los Angeles County, along with a companion Private Attorneys General Act (“PAGA”) lawsuit, to act in a representative capacity for other Mercury Mission Systems, LLC employees in California, alleging a range of violations of California wage and hour regulations. On October 1, 2024, a second former employee at our Torrance location filed a PAGA notice to act in a representative capacity on allegations of a range of violations of California wage and hour regulations. On December 21, 2024, the Company reached an agreement in principle to settle these wage and hour class action claims for $450, which settlement in principle is subject to a final settlement agreement and review and approval by the court.</w:t>
      </w:r>
    </w:p>
    <w:p>
      <w:pPr>
        <w:pStyle w:val="TextBody"/>
        <w:bidi w:val="0"/>
        <w:spacing w:lineRule="auto" w:line="288" w:before="180" w:after="283"/>
        <w:jc w:val="both"/>
        <w:rPr/>
      </w:pPr>
      <w:r>
        <w:rPr>
          <w:rFonts w:ascii="Times New Roman;serif" w:hAnsi="Times New Roman;serif"/>
          <w:b/>
          <w:color w:val="000000"/>
          <w:sz w:val="20"/>
        </w:rPr>
        <w:t>I</w:t>
      </w:r>
      <w:r>
        <w:rPr>
          <w:rFonts w:ascii="Times New Roman;serif" w:hAnsi="Times New Roman;serif"/>
          <w:b/>
          <w:color w:val="000000"/>
          <w:sz w:val="16"/>
        </w:rPr>
        <w:t>NDEMNIFICATION</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 </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URCHASE</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OMMITMENTS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27, 2025, the Company has entered into non-cancelable purchase commitments for certain inventory components and services used in its normal operations. The purchase commitments covered by these agreements aggregate to $206,386.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O</w:t>
      </w:r>
      <w:r>
        <w:rPr>
          <w:rFonts w:ascii="Times New Roman;serif" w:hAnsi="Times New Roman;serif"/>
          <w:b/>
          <w:color w:val="000000"/>
          <w:sz w:val="16"/>
        </w:rPr>
        <w:t>THER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may elect from time to time to purchase and subsequently retire shares of common stock in order to settle an individual employees’ tax liability associated with vesting of a restricted stock award or exercise of stock options. These transactions are treated as a use of cash in financing activities in the Company's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L.</w:t>
      </w:r>
      <w:r>
        <w:rPr>
          <w:rFonts w:ascii="Times New Roman;serif" w:hAnsi="Times New Roman;serif"/>
          <w:b/>
          <w:color w:val="000000"/>
          <w:sz w:val="20"/>
        </w:rPr>
        <w:t>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February 28, 2022, the Company amended the Revolver to increase and extend the borrowing capacity to a $1,100,000, 5-year revolving credit line, with the maturity extended to February 28, 2027. As of June 27, 2025, the Company's outstanding balance of unamortized deferred financing costs was $3,523, which is being amortized to Other expense, net in the Consolidated Statements of Operations and Comprehensive Loss over the term of the Revolver and includes the costs incurred in conjunction with the November 2023 amendment to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2023, due to the uncertainty surrounding a government shutdown or prolonged continuing resolution and the potential impact on the second quarter and fiscal 2024 results, the Company proactively executed Amendment No. 5 to the Revolver, as amended to date, with a syndicate of commercial banks and Bank of America, N.A acting as the administrative agent allowing for a temporary increase in the Consolidated Total Net Leverage Ratio covenant requirement from 4.50 to 5.25 for the second quarter ended December 29, 2023. In conjunction with Amendment No. 5 to the Revolver, the Company incurred $1,931 of new deferred financing costs that will be amortized over the remaining term of the Revolver. Refer to exhibit 10.7.5 included herein.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13, 2024, the Company executed Amendment No. 6 to the Revolver, decreasing the permanent borrowing capacity to $900,000, with a temporary reduction in credit availability to $750,000 until the Company meets a minimum consolidated EBITDA level, as defined in the Amendment No. 6 to the Revolver. In conjunction with Amendment No. 6 to the Revolver, the Company incurred $2,249 of new deferred financing costs that will be amortized over the remaining term of the Revolver. As part of the amendment, the Company wrote off $714 of previously deferred financing costs associated with the line of credit facility prior to the amendment. This write-off is included in Other expense, net in the Consolidated Statements of Operations and Comprehensive Loss. Refer to exhibit 10.7.6 on Form 10-K filed by the Company with the SEC on August 13, 2024.</w:t>
      </w:r>
    </w:p>
    <w:p>
      <w:pPr>
        <w:pStyle w:val="TextBody"/>
        <w:bidi w:val="0"/>
        <w:spacing w:before="0" w:after="0"/>
        <w:ind w:left="0" w:right="0" w:firstLine="495"/>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Maturity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Revolver has a 5-year maturity and will mature on February 28,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Rates and Fees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Borrowings under the Revolver bear interest, at the Company’s option, at floating rates tied to Secured Overnight Financing Rate ("SOFR") or the prime rate plus an applicable percentage in the case of dollar denominated loans or, in the case of certain other currencies, such alternative floating rates as agreed. The interest rate applicable to outstanding loans has initially been set at SOFR plus 1.25% and in future fiscal quarters will be established pursuant to a pricing grid based on the Company’s total net leverage ratio.</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interest on the aggregate outstanding principal amounts of any borrowings, the Company will also pay a quarterly commitment fee on the unutilized commitments under the Revolver, which fee has initially been set at 0.20% per annum and in future fiscal quarters will be established pursuant to a pricing grid based on the Company’s total net leverage ratio. The Company will also pay customary letter of credit and agency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Covenants and Events of Default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Revolver provides for customary negative covenants, including, among other things and subject to certain significant exceptions, restrictions on the incurrence of debt or guarantees, the creation of liens, the making of certain investments, loans and acquisitions, mergers and dissolutions, the sale of assets including capital stock of subsidiaries, the payment of dividends, the repayment or amending of junior debt, altering the business conducted, engaging in transactions with affiliates and entering into agreements limiting subsidiary dividends and distributions. The Revolver also requires the Company to comply with certain financial covenants, including a quarterly minimum consolidated cash interest charge ratio test and a quarterly maximum consolidated total net leverage ratio test.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Revolver also provides for customary representations and warranties, affirmative covenants and events of default (including, among others, the failure to make required payments of principal and interest, certain insolvency events and an event of default upon a change of control). If an event of default occurs, the lenders under the Revolver will be entitled to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various actions, including the termination of unutilized commitments, the acceleration of amounts outstanding under the Revolver and all actions permitted to be taken by a secured creditor.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Guarantees and Security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Revolver are guaranteed by certain of the Company’s material domestic wholly-owned restricted subsidiaries (the “Guarantors”). The obligations of both the Company and the Guarantors are secured by a perfected security interest in substantially all of the assets of the Company and the Guarantors, in each case, now owned or later acquired, including a pledge of all of the capital stock of substantially all of the Company’s domestic wholly-owned restricted subsidiaries and 65% of the capital stock of certain of its foreign restricted subsidiaries, subject in each case to the exclusion of certain assets and additional exceptions.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2025, the Company was in compliance with all covenants and conditions under the Revolver and there were outstanding borrowings of $591,500 against the Revolver for the fiscal years ended June 27, 2025 and June 28, 2024, respectively. The Company incurred interest expense of $33,430 and $35,015 for fiscal years ended June 27, 2025 and June 28, 2024, respectively. The current borrowing capacity as defined under the Revolver as of June 27, 2025 is approximately $900,000, of which we had outstanding borrowings against of $591,500. There were outstanding letters of credit of $7,740 as of June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M.</w:t>
      </w:r>
      <w:r>
        <w:rPr>
          <w:rFonts w:ascii="Times New Roman;serif" w:hAnsi="Times New Roman;serif"/>
          <w:b/>
          <w:color w:val="000000"/>
          <w:sz w:val="20"/>
        </w:rPr>
        <w:t>Employee Benefit Plans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Pension Plan</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maintains a pension plan (the “Plan”) for its Swiss employees, which is administered by an independent pension fund. The Plan is mandated by Swiss law and meets the criteria for a defined benefit plan under ASC 715, </w:t>
      </w:r>
      <w:r>
        <w:rPr>
          <w:rFonts w:ascii="Times New Roman;serif" w:hAnsi="Times New Roman;serif"/>
          <w:b w:val="false"/>
          <w:i/>
          <w:color w:val="000000"/>
          <w:sz w:val="20"/>
        </w:rPr>
        <w:t>Compensation—Retirement Benefits</w:t>
      </w:r>
      <w:r>
        <w:rPr>
          <w:color w:val="000000"/>
        </w:rPr>
        <w:t xml:space="preserve"> </w:t>
      </w:r>
      <w:r>
        <w:rPr>
          <w:rFonts w:ascii="Times New Roman;serif" w:hAnsi="Times New Roman;serif"/>
          <w:b w:val="false"/>
          <w:color w:val="000000"/>
          <w:sz w:val="20"/>
        </w:rPr>
        <w:t xml:space="preserve">(“ASC 715”), since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fiscal 2021, the independent pension fund changed the conversion rate for accumulated retirement savings leading to a Plan amendment. The Company’s results contain the effects of this change in conversion rates by the independent pension fund as prior service costs. These prior service costs are amortized from AOCI to net periodic benefit costs over approximately nine years.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June 27, 2025, the accumulated benefit obligation of the Plan equals the fair value of the Plan's assets. The Plan's funded status at June 27, 2025 and June 28, 2024 was a net liability of $5,282 and $5,005, respectively, which is recorded in other non-current liabilities on the Consolidated Balance Sheets. The Company recognized net periodic benefit (gain) costs of $(1,233) and $471 associated with the Plan and a net loss of $1,809 and 1,383 in AOCI during the fiscal years ended June 27, 2025 and June 28, 2024, respectively. Total employer contributions to the Plan were $978 during the year ended June 27, 2025, and the Company's total expected employer contributions to the Plan during fiscal 2026 are $704.</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total pension benefits expected to be paid from the Plan, which is funded from contributions by participants and the Company.</w:t>
      </w:r>
    </w:p>
    <w:tbl>
      <w:tblPr>
        <w:tblW w:w="3392" w:type="dxa"/>
        <w:jc w:val="left"/>
        <w:tblInd w:w="0" w:type="dxa"/>
        <w:tblLayout w:type="fixed"/>
        <w:tblCellMar>
          <w:top w:w="28" w:type="dxa"/>
          <w:left w:w="28" w:type="dxa"/>
          <w:bottom w:w="28" w:type="dxa"/>
          <w:right w:w="28" w:type="dxa"/>
        </w:tblCellMar>
      </w:tblPr>
      <w:tblGrid>
        <w:gridCol w:w="756"/>
        <w:gridCol w:w="663"/>
        <w:gridCol w:w="665"/>
        <w:gridCol w:w="109"/>
        <w:gridCol w:w="109"/>
        <w:gridCol w:w="109"/>
        <w:gridCol w:w="211"/>
        <w:gridCol w:w="61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Fiscal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 (next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components of net periodic benefit cost of the Plan for the fiscal years ended June 27, 2025 and June 28, 2024:</w:t>
      </w:r>
    </w:p>
    <w:tbl>
      <w:tblPr>
        <w:tblW w:w="5457" w:type="dxa"/>
        <w:jc w:val="left"/>
        <w:tblInd w:w="0" w:type="dxa"/>
        <w:tblLayout w:type="fixed"/>
        <w:tblCellMar>
          <w:top w:w="28" w:type="dxa"/>
          <w:left w:w="28" w:type="dxa"/>
          <w:bottom w:w="28" w:type="dxa"/>
          <w:right w:w="28" w:type="dxa"/>
        </w:tblCellMar>
      </w:tblPr>
      <w:tblGrid>
        <w:gridCol w:w="1025"/>
        <w:gridCol w:w="901"/>
        <w:gridCol w:w="909"/>
        <w:gridCol w:w="235"/>
        <w:gridCol w:w="769"/>
        <w:gridCol w:w="121"/>
        <w:gridCol w:w="109"/>
        <w:gridCol w:w="109"/>
        <w:gridCol w:w="109"/>
        <w:gridCol w:w="297"/>
        <w:gridCol w:w="656"/>
        <w:gridCol w:w="217"/>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net of loss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 recognized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 recognized</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(gain) cost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year 2025, due to the sale of manufacturing operations to Cicor Group, there was a $2,062 plan curtailment.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related actuarial assumptions used to determine net periodic benefit cost of the Plan for the fiscal years ended June 27, 2025 and June 28, 2024:</w:t>
      </w:r>
    </w:p>
    <w:tbl>
      <w:tblPr>
        <w:tblW w:w="5845" w:type="dxa"/>
        <w:jc w:val="left"/>
        <w:tblInd w:w="0" w:type="dxa"/>
        <w:tblLayout w:type="fixed"/>
        <w:tblCellMar>
          <w:top w:w="28" w:type="dxa"/>
          <w:left w:w="28" w:type="dxa"/>
          <w:bottom w:w="28" w:type="dxa"/>
          <w:right w:w="28" w:type="dxa"/>
        </w:tblCellMar>
      </w:tblPr>
      <w:tblGrid>
        <w:gridCol w:w="1135"/>
        <w:gridCol w:w="996"/>
        <w:gridCol w:w="1004"/>
        <w:gridCol w:w="255"/>
        <w:gridCol w:w="256"/>
        <w:gridCol w:w="625"/>
        <w:gridCol w:w="123"/>
        <w:gridCol w:w="123"/>
        <w:gridCol w:w="123"/>
        <w:gridCol w:w="255"/>
        <w:gridCol w:w="256"/>
        <w:gridCol w:w="69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rate of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inflation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 of the projected benefit obligation (“PBO”) utilized BVG 2020 Generational data for assumptions related to the mortality rates, disability rates, turnover rates, and early retirement ages.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PBO represents the present value of Plan benefits earned through the end of the year, with an allowance for future salary and pension increases as well as turnover rates. The following table presents the change in projected benefit obligation for the periods presented:</w:t>
      </w:r>
    </w:p>
    <w:tbl>
      <w:tblPr>
        <w:tblW w:w="6161" w:type="dxa"/>
        <w:jc w:val="left"/>
        <w:tblInd w:w="0" w:type="dxa"/>
        <w:tblLayout w:type="fixed"/>
        <w:tblCellMar>
          <w:top w:w="28" w:type="dxa"/>
          <w:left w:w="28" w:type="dxa"/>
          <w:bottom w:w="28" w:type="dxa"/>
          <w:right w:w="28" w:type="dxa"/>
        </w:tblCellMar>
      </w:tblPr>
      <w:tblGrid>
        <w:gridCol w:w="1283"/>
        <w:gridCol w:w="1127"/>
        <w:gridCol w:w="1130"/>
        <w:gridCol w:w="228"/>
        <w:gridCol w:w="779"/>
        <w:gridCol w:w="117"/>
        <w:gridCol w:w="109"/>
        <w:gridCol w:w="109"/>
        <w:gridCol w:w="109"/>
        <w:gridCol w:w="227"/>
        <w:gridCol w:w="777"/>
        <w:gridCol w:w="166"/>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beginning</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Settlements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loss (gain)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end of year</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605" cy="14605"/>
                <wp:effectExtent l="0" t="0" r="0" b="0"/>
                <wp:wrapNone/>
                <wp:docPr id="69" name="Frame6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Plan assets for the periods presented:</w:t>
      </w:r>
    </w:p>
    <w:tbl>
      <w:tblPr>
        <w:tblW w:w="5815" w:type="dxa"/>
        <w:jc w:val="left"/>
        <w:tblInd w:w="0" w:type="dxa"/>
        <w:tblLayout w:type="fixed"/>
        <w:tblCellMar>
          <w:top w:w="28" w:type="dxa"/>
          <w:left w:w="28" w:type="dxa"/>
          <w:bottom w:w="28" w:type="dxa"/>
          <w:right w:w="28" w:type="dxa"/>
        </w:tblCellMar>
      </w:tblPr>
      <w:tblGrid>
        <w:gridCol w:w="1154"/>
        <w:gridCol w:w="1018"/>
        <w:gridCol w:w="1022"/>
        <w:gridCol w:w="228"/>
        <w:gridCol w:w="779"/>
        <w:gridCol w:w="117"/>
        <w:gridCol w:w="109"/>
        <w:gridCol w:w="109"/>
        <w:gridCol w:w="109"/>
        <w:gridCol w:w="227"/>
        <w:gridCol w:w="777"/>
        <w:gridCol w:w="166"/>
      </w:tblGrid>
      <w:tr>
        <w:trPr/>
        <w:tc>
          <w:tcPr>
            <w:tcW w:w="115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contributions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reconciliation of funded status for the period presented:</w:t>
      </w:r>
    </w:p>
    <w:tbl>
      <w:tblPr>
        <w:tblW w:w="6160" w:type="dxa"/>
        <w:jc w:val="left"/>
        <w:tblInd w:w="0" w:type="dxa"/>
        <w:tblLayout w:type="fixed"/>
        <w:tblCellMar>
          <w:top w:w="28" w:type="dxa"/>
          <w:left w:w="28" w:type="dxa"/>
          <w:bottom w:w="28" w:type="dxa"/>
          <w:right w:w="28" w:type="dxa"/>
        </w:tblCellMar>
      </w:tblPr>
      <w:tblGrid>
        <w:gridCol w:w="1280"/>
        <w:gridCol w:w="1128"/>
        <w:gridCol w:w="1131"/>
        <w:gridCol w:w="228"/>
        <w:gridCol w:w="779"/>
        <w:gridCol w:w="117"/>
        <w:gridCol w:w="109"/>
        <w:gridCol w:w="109"/>
        <w:gridCol w:w="109"/>
        <w:gridCol w:w="227"/>
        <w:gridCol w:w="777"/>
        <w:gridCol w:w="166"/>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end of year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Plan assets was $12,440 at June 27, 2025. The Plan is denominated in a foreign currency, the Swiss Franc, which can have an impact on the fair value of Plan assets. The Plan was not subject to material fluctuations during the years ended June 27, 2025 or June 28, 2024. The Plan’s assets are administered by an independent pension fund foundation (the “foundation”). As of June 27, 2025, the foundation has invested the assets of the Plan in various investments vehicles, including cash, real estate, equity securities, and bonds. The investments are measured at fair value using a mix of Level 1, Level 2 and Level 3 inputs.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401(k)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maintains a qualified 401(k) plan (the “401(k) Plan”) for its U.S. employees. Effective in the first quarter of fiscal 2023, the Company increased the rate of its matching contributions from 3% to 6% of participants' eligible annual compensation and changed the form of these contributions from cash to Company stock. The Company may also make optional contributions to the plan for any plan year at its discretion. The Company had $3,068 and $2,901 of capitalized stock-based 401(k) matching compensation expense on the Consolidated Balance Sheet as of June 27, 2025 and June 28, 2024, respectively. Stock-based 401(k) matching compensation cost is measured based on the value of the matching amount and is recognized as expense as incurred. Expense recognized by the Company for matching contributions related to the 401(k) plan was $14,900, $15,853, and $15,665 during the fiscal years ended June 27, 2025, June 28, 2024, and June 30, 2023,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Deferred Compensation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implemented a nonqualified deferred compensation plan as of January 1, 2024, under which eligible employees may defer up to 50% of their base salaries and up to 100% of their annual incentive bonuses. The Company may also make employer contributions to participant accounts in its sole discretion, and currently matches participants’ deferrals under the plan of up to 6% of their eligible annual compensation in the form of deferred stock units (or at the Company’s election, a cash deferral credited to participants’ account balances). The Company’s matching obligations for participant deferrals made during each calendar year are subject to a financial performance condition for the Company's four fiscal quarters corresponding to such calendar year. In the case of the Company's matching obligations for participant deferrals made during calendar year 2024, the financial performance condition was fully satisfied, and the deferred stock units issued in respect of the Company's matching obligations vested accordingly. Participant deferrals under the plan are held in a rabbi trust and are subject to the claims of the Company’s creditors. Assets held by the rabbi trust are classified as trading securities and are recorded at fair value, with changes in value recorded as adjustments to other income. All deferrals or employer contributions under the plan, and all earnings thereon, are fully vested as and when made or credited to plan participants.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2025, the Company held assets under the rabbi trust of $268, was subject to liabilities for amounts payable under the plan to participants (including accrued employer matching contributions not yet credited to plan participants) of $268. Assets related to this plan are included in Other assets, and liabilities related to this plan are included in Other long-term liabilities in the Consolidated Balance Sheets. During the fiscal year ended June 27, 2025, the Company recognized an immaterial value of compensation expense as a result of changes in the value of notional investments selected by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for the investment of their plan account balances, with the same amount being recorded as other income attributable to changes in the market value of the assets held by the rabbi trust.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N.</w:t>
      </w:r>
      <w:r>
        <w:rPr>
          <w:rFonts w:ascii="Times New Roman;serif" w:hAnsi="Times New Roman;serif"/>
          <w:b/>
          <w:color w:val="000000"/>
          <w:sz w:val="20"/>
        </w:rPr>
        <w:t>Shareholders’ Equity</w:t>
      </w:r>
    </w:p>
    <w:p>
      <w:pPr>
        <w:pStyle w:val="TextBody"/>
        <w:bidi w:val="0"/>
        <w:spacing w:lineRule="auto" w:line="288" w:before="180" w:after="283"/>
        <w:jc w:val="both"/>
        <w:rPr/>
      </w:pPr>
      <w:r>
        <w:rPr>
          <w:rFonts w:ascii="Times New Roman;serif" w:hAnsi="Times New Roman;serif"/>
          <w:b/>
          <w:color w:val="000000"/>
          <w:sz w:val="20"/>
        </w:rPr>
        <w:t>P</w:t>
      </w:r>
      <w:r>
        <w:rPr>
          <w:rFonts w:ascii="Times New Roman;serif" w:hAnsi="Times New Roman;serif"/>
          <w:b/>
          <w:color w:val="000000"/>
          <w:sz w:val="16"/>
        </w:rPr>
        <w:t>REFERRED</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TOCK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 shares of preferred stock with a par value of $0.01 per share.</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 xml:space="preserve">HELF </w:t>
      </w:r>
      <w:r>
        <w:rPr>
          <w:rFonts w:ascii="Times New Roman;serif" w:hAnsi="Times New Roman;serif"/>
          <w:b/>
          <w:color w:val="000000"/>
          <w:sz w:val="20"/>
        </w:rPr>
        <w:t>R</w:t>
      </w:r>
      <w:r>
        <w:rPr>
          <w:rFonts w:ascii="Times New Roman;serif" w:hAnsi="Times New Roman;serif"/>
          <w:b/>
          <w:color w:val="000000"/>
          <w:sz w:val="16"/>
        </w:rPr>
        <w:t>EGISTRATION</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TATEMENT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4, 2023, the Company filed a shelf registration statement on Form S-3ASR with the SEC. The shelf registration statement, which was effective upon filing with the SEC, registered each of the following securities: debt securities; preferred stock; common stock; warrants; and units. The Company has an unlimited amount available under the shelf registration statement. </w:t>
      </w:r>
    </w:p>
    <w:p>
      <w:pPr>
        <w:pStyle w:val="TextBody"/>
        <w:bidi w:val="0"/>
        <w:spacing w:lineRule="auto" w:line="288" w:before="180" w:after="283"/>
        <w:jc w:val="both"/>
        <w:rPr/>
      </w:pPr>
      <w:r>
        <w:rPr>
          <w:rFonts w:ascii="Times New Roman;serif" w:hAnsi="Times New Roman;serif"/>
          <w:b/>
          <w:color w:val="000000"/>
          <w:sz w:val="22"/>
        </w:rPr>
        <w:t>S</w:t>
      </w:r>
      <w:r>
        <w:rPr>
          <w:rFonts w:ascii="Times New Roman;serif" w:hAnsi="Times New Roman;serif"/>
          <w:b/>
          <w:color w:val="000000"/>
          <w:sz w:val="16"/>
        </w:rPr>
        <w:t xml:space="preserve">TOCKHOLDER </w:t>
      </w:r>
      <w:r>
        <w:rPr>
          <w:rFonts w:ascii="Times New Roman;serif" w:hAnsi="Times New Roman;serif"/>
          <w:b/>
          <w:color w:val="000000"/>
          <w:sz w:val="22"/>
        </w:rPr>
        <w:t>R</w:t>
      </w:r>
      <w:r>
        <w:rPr>
          <w:rFonts w:ascii="Times New Roman;serif" w:hAnsi="Times New Roman;serif"/>
          <w:b/>
          <w:color w:val="000000"/>
          <w:sz w:val="16"/>
        </w:rPr>
        <w:t xml:space="preserve">IGHTS </w:t>
      </w:r>
      <w:r>
        <w:rPr>
          <w:rFonts w:ascii="Times New Roman;serif" w:hAnsi="Times New Roman;serif"/>
          <w:b/>
          <w:color w:val="000000"/>
          <w:sz w:val="22"/>
        </w:rPr>
        <w:t>P</w:t>
      </w:r>
      <w:r>
        <w:rPr>
          <w:rFonts w:ascii="Times New Roman;serif" w:hAnsi="Times New Roman;serif"/>
          <w:b/>
          <w:color w:val="000000"/>
          <w:sz w:val="16"/>
        </w:rPr>
        <w:t>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27, 2021, the Company's Board of Directors authorized and declared a dividend of one preferred share purchase right (a “Right”), payable on January 10, 2022, for each outstanding share of common stock par value $0.01 per share to the stockholders of record on that date. Each Right entitled the registered holder to purchase from the Company a unit of Series A Junior Preferred Stock, par value $0.01 per share, of the Company at a designated price per unit, subject to adjustment. The Rights initially trade with, and are inseparable from, the shares of common stock.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June 24, 2022, the Company amended the Rights Agreement, dated as of December 27, 2021, to increase the ownership threshold for a person to be an “Acquiring Person” (as defined in the Rights Agreement) from 7.5% of common stock to 10% of common stock (10% of common stock to 20% of common stock in the case of a passive institutional investor).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Additional details about the Rights Agreement are contained in the Current Reports on Form 8-K filed by the Company with the SEC on December 29, 2021 and June 24, 2022.</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26, 2022 the Stockholder Rights Plan and the Rights thereunder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O.</w:t>
      </w:r>
      <w:r>
        <w:rPr>
          <w:rFonts w:ascii="Times New Roman;serif" w:hAnsi="Times New Roman;serif"/>
          <w:b/>
          <w:color w:val="000000"/>
          <w:sz w:val="20"/>
        </w:rPr>
        <w:t>Stock-Based Compensation</w:t>
      </w:r>
    </w:p>
    <w:p>
      <w:pPr>
        <w:pStyle w:val="TextBody"/>
        <w:bidi w:val="0"/>
        <w:spacing w:lineRule="auto" w:line="288" w:before="180" w:after="283"/>
        <w:jc w:val="left"/>
        <w:rPr/>
      </w:pP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LANS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June 27, 2025, the aggregate number of shares authorized for issuance under the Company’s Amended and Restated 2018 Stock Incentive Plan (the “2018 Plan”) is 7,862 shares, including 3,000 shares approved by the Company's shareholders on October 28, 2020 and 2,000 shares approved for future grant under the 2018 Plan by the company's shareholders on October 26, 2022. On October 25, 2023, the Company's shareholders approved an additional 3,450 shares to be added to the 2018 plan. The 2018 Plan shares available for issuance also include 948 shares rolled into the 2018 Plan that were available for future grant under the Company’s 2005 Stock Incentive Plan, as amended and restated (the “2005 Plan”). The 2018 Plan replaced the 2005 Plan. The 2018 Plan provides for the grant of non-qualified and incentive stock options, restricted stock, stock appreciation rights and deferred stock awards to employees and non-employees. Stock options must be granted with an exercise price of not less than 100% of the fair value of the Company’s common stock on the date of grant and the options generally have a term of seven years. There were 3,810 shares available for future grant under the 2018 Plan at June 27, 2025. </w:t>
      </w:r>
    </w:p>
    <w:p>
      <w:pPr>
        <w:pStyle w:val="TextBody"/>
        <w:bidi w:val="0"/>
        <w:spacing w:lineRule="auto" w:line="288" w:before="100" w:after="2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the Company's ongoing annual equity grant program for employees, the Company grants performance-based restricted stock awards to certain executives and employees pursuant to the 2018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generally include the achievement of financial performance goals, either on an absolute basis or relative to a peer group of companies. Payouts under performance-based restricted stock awards may also be subject to modification based on Mercury's total shareholder return relative to the component companies within the Spade Defensive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color w:val="000000"/>
          <w:sz w:val="20"/>
        </w:rPr>
        <w:t>E</w:t>
      </w:r>
      <w:r>
        <w:rPr>
          <w:rFonts w:ascii="Times New Roman;serif" w:hAnsi="Times New Roman;serif"/>
          <w:b/>
          <w:color w:val="000000"/>
          <w:sz w:val="16"/>
        </w:rPr>
        <w:t>MPLOYEE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URCHASE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1997 Employee Stock Purchase Plan, as amended and restated (the “ 1997 ESPP”) was terminated in accordance with its terms effective May 14, 2024. Under the 1997 ESPP, rights were granted to purchase shares of common stock at 85% of the lesser of the market value of such shares at either the beginning or the end of each six-month offering period. The 1997 ESPP permitted employees to purchase common stock through payroll deductions, which may not have exceeded 10% of an employee’s compensation as defined in the 1997 ESPP. The number of shares issued under the 1997 ESPP during fiscal years 2025, 2024 and 2023 was 0, 167 and 145, respectively. There were an immaterial amount of shares related to the 1997 Plan issued and returned to the reserve during fiscal 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adopted a new employee stock purchase plan (the “2024 ESPP”) in April 2024. The Company's shareholders approved the plan at the Company’s 2024 annual meeting of shareholders, the number of shares authorized for issuance under the 2024 ESPP is 1,000 shares. Under the 2024 ESPP, rights are granted to purchase shares of common stock at 85% of the lesser of the market value of such shares at either the beginning or the end of each six-month offering period. The 2024 ESPP permits employees to purchase common stock through payroll deductions, which may not exceed 10% of an employee’s compensation as defined in the 2024 ESPP. As of June 27, 2025, 130 shares have been issued under the 2024 ESPP. Shares available for future purchase under the 2024 ESPP totaled 870 as of June 27, 2025.</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6"/>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ND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WARD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CTIVITY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15, 2023, the Company announced that William L. Ballhaus was appointed as the Company’s President and Chief Executive Officer. Mr. Ballhaus received an onboarding grant of premium-priced stock options ("New Hire Option") under the 2018 Plan. The Company and Mr. Ballhaus are parties to an employment agreement, which is included in exhibit 10.1 on Form 8-K filed by the Company with the SEC on August 15, 2023.</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 respect to Company-issued stock options since June 30, 2023:</w:t>
      </w:r>
    </w:p>
    <w:tbl>
      <w:tblPr>
        <w:tblW w:w="10205" w:type="dxa"/>
        <w:jc w:val="left"/>
        <w:tblInd w:w="0" w:type="dxa"/>
        <w:tblLayout w:type="fixed"/>
        <w:tblCellMar>
          <w:top w:w="28" w:type="dxa"/>
          <w:left w:w="28" w:type="dxa"/>
          <w:bottom w:w="28" w:type="dxa"/>
          <w:right w:w="28" w:type="dxa"/>
        </w:tblCellMar>
      </w:tblPr>
      <w:tblGrid>
        <w:gridCol w:w="905"/>
        <w:gridCol w:w="793"/>
        <w:gridCol w:w="798"/>
        <w:gridCol w:w="295"/>
        <w:gridCol w:w="295"/>
        <w:gridCol w:w="296"/>
        <w:gridCol w:w="109"/>
        <w:gridCol w:w="109"/>
        <w:gridCol w:w="109"/>
        <w:gridCol w:w="212"/>
        <w:gridCol w:w="621"/>
        <w:gridCol w:w="109"/>
        <w:gridCol w:w="109"/>
        <w:gridCol w:w="109"/>
        <w:gridCol w:w="109"/>
        <w:gridCol w:w="252"/>
        <w:gridCol w:w="740"/>
        <w:gridCol w:w="130"/>
        <w:gridCol w:w="109"/>
        <w:gridCol w:w="109"/>
        <w:gridCol w:w="109"/>
        <w:gridCol w:w="358"/>
        <w:gridCol w:w="358"/>
        <w:gridCol w:w="360"/>
        <w:gridCol w:w="109"/>
        <w:gridCol w:w="109"/>
        <w:gridCol w:w="109"/>
        <w:gridCol w:w="646"/>
        <w:gridCol w:w="1245"/>
        <w:gridCol w:w="484"/>
      </w:tblGrid>
      <w:tr>
        <w:trPr/>
        <w:tc>
          <w:tcPr>
            <w:tcW w:w="9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Remaining</w:t>
              <w:br/>
              <w:t>Contractual </w:t>
              <w:br/>
              <w:t>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 as of 6/28/2024</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2023</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28, 2024</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2025</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27, 2025</w:t>
            </w:r>
          </w:p>
        </w:tc>
        <w:tc>
          <w:tcPr>
            <w:tcW w:w="5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options vested or exercised during fiscal year 2025. Non-vested stock options are subject to the risk of forfeiture until the fulfillment of specified conditions. As of June 27, 2025, there was $5,822 of total unrecognized compensation cost related to non-vested options granted that is expected to be recognized over a weighted-average period 1.75 years from June 27,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uses the Black-Scholes valuation model for estimating the fair value on the date of grant of stock options. The Company calculated the fair values of the options grants using the following weighted-average assumptions:</w:t>
      </w:r>
    </w:p>
    <w:tbl>
      <w:tblPr>
        <w:tblW w:w="5831" w:type="dxa"/>
        <w:jc w:val="left"/>
        <w:tblInd w:w="0" w:type="dxa"/>
        <w:tblLayout w:type="fixed"/>
        <w:tblCellMar>
          <w:top w:w="28" w:type="dxa"/>
          <w:left w:w="28" w:type="dxa"/>
          <w:bottom w:w="28" w:type="dxa"/>
          <w:right w:w="28" w:type="dxa"/>
        </w:tblCellMar>
      </w:tblPr>
      <w:tblGrid>
        <w:gridCol w:w="1463"/>
        <w:gridCol w:w="1283"/>
        <w:gridCol w:w="1289"/>
        <w:gridCol w:w="109"/>
        <w:gridCol w:w="109"/>
        <w:gridCol w:w="109"/>
        <w:gridCol w:w="271"/>
        <w:gridCol w:w="792"/>
        <w:gridCol w:w="406"/>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volatility of options granted has been determined using a weighted average of the historical volatility of the Company’s stock for a period equal to the expected term of the option. The expected term of options has been determined using the average of the contractual term and the weighted average vesting term of the options. The risk-free interest rate is based on a zero-coupon U.S. treasury instrument whose term is consistent with the expected term of the stock options. The Company has not paid and does not anticipate paying cash dividends on its shares of common stock; therefore, the expected dividend yield is assumed to be zero. The Company applied an estimated annual forfeiture rate based on historical averages in determining the expense recorded in each period.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the Company’s non-vested restricted stock awards and deferred stock awards since June 30, 2023:</w:t>
      </w:r>
    </w:p>
    <w:tbl>
      <w:tblPr>
        <w:tblW w:w="5769" w:type="dxa"/>
        <w:jc w:val="left"/>
        <w:tblInd w:w="0" w:type="dxa"/>
        <w:tblLayout w:type="fixed"/>
        <w:tblCellMar>
          <w:top w:w="28" w:type="dxa"/>
          <w:left w:w="28" w:type="dxa"/>
          <w:bottom w:w="28" w:type="dxa"/>
          <w:right w:w="28" w:type="dxa"/>
        </w:tblCellMar>
      </w:tblPr>
      <w:tblGrid>
        <w:gridCol w:w="935"/>
        <w:gridCol w:w="821"/>
        <w:gridCol w:w="823"/>
        <w:gridCol w:w="315"/>
        <w:gridCol w:w="316"/>
        <w:gridCol w:w="296"/>
        <w:gridCol w:w="186"/>
        <w:gridCol w:w="186"/>
        <w:gridCol w:w="186"/>
        <w:gridCol w:w="360"/>
        <w:gridCol w:w="1078"/>
        <w:gridCol w:w="267"/>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Non-Vested Restricted Stock Awards</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w:t>
              <w:br/>
              <w:t>Fair Value</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30, 2023</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54.45</w:t>
            </w: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28, 2024</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41.35</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27, 2025</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1,742</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40.37</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awards vested during fiscal years 2025, 2024 and 2023 was $16,643, $15,994 and $25,587, respectively.</w:t>
      </w:r>
    </w:p>
    <w:p>
      <w:pPr>
        <w:pStyle w:val="TextBody"/>
        <w:bidi w:val="0"/>
        <w:spacing w:lineRule="auto" w:line="288" w:before="180" w:after="283"/>
        <w:jc w:val="both"/>
        <w:rPr/>
      </w:pPr>
      <w:r>
        <w:rPr>
          <w:rFonts w:ascii="Times New Roman;serif" w:hAnsi="Times New Roman;serif"/>
          <w:b/>
          <w:color w:val="000000"/>
          <w:sz w:val="20"/>
        </w:rPr>
        <w:t>S</w:t>
      </w:r>
      <w:r>
        <w:rPr>
          <w:rFonts w:ascii="Times New Roman;serif" w:hAnsi="Times New Roman;serif"/>
          <w:b/>
          <w:color w:val="000000"/>
          <w:sz w:val="16"/>
        </w:rPr>
        <w:t>TOCK</w:t>
      </w:r>
      <w:r>
        <w:rPr>
          <w:rFonts w:ascii="Times New Roman;serif" w:hAnsi="Times New Roman;serif"/>
          <w:b/>
          <w:color w:val="000000"/>
          <w:sz w:val="20"/>
        </w:rPr>
        <w:t>-</w:t>
      </w:r>
      <w:r>
        <w:rPr>
          <w:rFonts w:ascii="Times New Roman;serif" w:hAnsi="Times New Roman;serif"/>
          <w:b/>
          <w:color w:val="000000"/>
          <w:sz w:val="16"/>
        </w:rPr>
        <w:t>BASED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OMPENSATION</w:t>
      </w:r>
      <w:r>
        <w:rPr>
          <w:color w:val="000000"/>
        </w:rPr>
        <w:t xml:space="preserve"> </w:t>
      </w:r>
      <w:r>
        <w:rPr>
          <w:rFonts w:ascii="Times New Roman;serif" w:hAnsi="Times New Roman;serif"/>
          <w:b/>
          <w:color w:val="000000"/>
          <w:sz w:val="20"/>
        </w:rPr>
        <w:t>E</w:t>
      </w:r>
      <w:r>
        <w:rPr>
          <w:rFonts w:ascii="Times New Roman;serif" w:hAnsi="Times New Roman;serif"/>
          <w:b/>
          <w:color w:val="000000"/>
          <w:sz w:val="16"/>
        </w:rPr>
        <w:t>XPENSE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expense for its share-based payment plans in the Consolidated Statements of Operations and Comprehensive (Loss) Income in accordance with ASC 718. The Company had $1,712 and $456 of capitalized stock-based compensation expense on the Consolidated Balance Sheets as of June 27, 2025 and June 28, 2024, respectively. Under the fair value recognition provisions of ASC 718, stock-based compensation cost is measured at the grant date based on the value of the award and is recognized as expense over the service period.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expenses from continuing operations included in the Company’s Consolidated Statements of Operations and Comprehensive (Loss) Income:</w:t>
      </w:r>
    </w:p>
    <w:tbl>
      <w:tblPr>
        <w:tblW w:w="8737" w:type="dxa"/>
        <w:jc w:val="left"/>
        <w:tblInd w:w="0" w:type="dxa"/>
        <w:tblLayout w:type="fixed"/>
        <w:tblCellMar>
          <w:top w:w="28" w:type="dxa"/>
          <w:left w:w="28" w:type="dxa"/>
          <w:bottom w:w="28" w:type="dxa"/>
          <w:right w:w="28" w:type="dxa"/>
        </w:tblCellMar>
      </w:tblPr>
      <w:tblGrid>
        <w:gridCol w:w="1687"/>
        <w:gridCol w:w="1486"/>
        <w:gridCol w:w="1492"/>
        <w:gridCol w:w="228"/>
        <w:gridCol w:w="779"/>
        <w:gridCol w:w="117"/>
        <w:gridCol w:w="109"/>
        <w:gridCol w:w="109"/>
        <w:gridCol w:w="109"/>
        <w:gridCol w:w="228"/>
        <w:gridCol w:w="779"/>
        <w:gridCol w:w="117"/>
        <w:gridCol w:w="109"/>
        <w:gridCol w:w="109"/>
        <w:gridCol w:w="109"/>
        <w:gridCol w:w="227"/>
        <w:gridCol w:w="777"/>
        <w:gridCol w:w="166"/>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before tax</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income taxes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P.</w:t>
      </w:r>
      <w:r>
        <w:rPr>
          <w:rFonts w:ascii="Times New Roman;serif" w:hAnsi="Times New Roman;serif"/>
          <w:b/>
          <w:color w:val="000000"/>
          <w:sz w:val="20"/>
        </w:rPr>
        <w:t>Operating Segment, Geographic Information and Significant Customers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Operating segments are defined as components of an enterprise evaluated regularly by the Company's chief executive officer who acts as its CODM in deciding how to allocate resources and assess performance. The Company evaluated its internal organization under FASB ASC 280,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("ASC 280") to determine whether there has been a change to its conclusion of a single operating and reportable segment. The Company concluded there has been no changes given the CODM continues to evaluate and manage the Company on the basis of one operating and reportable segment. The Company utilized the management approach for determining its operating segment in accordance with ASC 280.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adopted Accounting Standard Update (“ASU”) 2023-07, </w:t>
      </w:r>
      <w:r>
        <w:rPr>
          <w:rFonts w:ascii="Times New Roman;serif" w:hAnsi="Times New Roman;serif"/>
          <w:b w:val="false"/>
          <w:i/>
          <w:color w:val="000000"/>
          <w:sz w:val="20"/>
        </w:rPr>
        <w:t>Segment Reporting (Topic 280) - Improvements to Reportable Segment Disclosures</w:t>
      </w:r>
      <w:r>
        <w:rPr>
          <w:rFonts w:ascii="Times New Roman;serif" w:hAnsi="Times New Roman;serif"/>
          <w:b w:val="false"/>
          <w:color w:val="000000"/>
          <w:sz w:val="20"/>
        </w:rPr>
        <w:t>, as of March 29, 2025. See the section Recently Adopted Accounting Pronouncements in Note B for more information. The CODM utilizes Net loss that is reported on the Consolidated Statement of Operations and Comprehensive Loss to assess operating performance and make decisions related to resource allocation. The Company's significant segment expenses include stock-based compensation and deprecation which are disclosed in Note O and Note E, respectively. Any other significant segment expenses which are regularly provided to the CODM are provided on the Consolidated Statement of Operations and Comprehensive Loss. The Company's segment assets are reported on the Consolidated Balance Sheets as Total Assets and its segment purchase of property plant and equipment are disclosed in Note 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geographic distribution of the Company’s revenues as determined by order origination based on the country in which the Company's legal subsidiary is domiciled is summarized as follows:</w:t>
      </w:r>
    </w:p>
    <w:tbl>
      <w:tblPr>
        <w:tblW w:w="10033" w:type="dxa"/>
        <w:jc w:val="left"/>
        <w:tblInd w:w="0" w:type="dxa"/>
        <w:tblLayout w:type="fixed"/>
        <w:tblCellMar>
          <w:top w:w="28" w:type="dxa"/>
          <w:left w:w="28" w:type="dxa"/>
          <w:bottom w:w="28" w:type="dxa"/>
          <w:right w:w="28" w:type="dxa"/>
        </w:tblCellMar>
      </w:tblPr>
      <w:tblGrid>
        <w:gridCol w:w="1166"/>
        <w:gridCol w:w="1027"/>
        <w:gridCol w:w="1032"/>
        <w:gridCol w:w="211"/>
        <w:gridCol w:w="826"/>
        <w:gridCol w:w="109"/>
        <w:gridCol w:w="109"/>
        <w:gridCol w:w="109"/>
        <w:gridCol w:w="109"/>
        <w:gridCol w:w="211"/>
        <w:gridCol w:w="721"/>
        <w:gridCol w:w="109"/>
        <w:gridCol w:w="109"/>
        <w:gridCol w:w="109"/>
        <w:gridCol w:w="109"/>
        <w:gridCol w:w="292"/>
        <w:gridCol w:w="562"/>
        <w:gridCol w:w="152"/>
        <w:gridCol w:w="109"/>
        <w:gridCol w:w="109"/>
        <w:gridCol w:w="109"/>
        <w:gridCol w:w="211"/>
        <w:gridCol w:w="796"/>
        <w:gridCol w:w="109"/>
        <w:gridCol w:w="109"/>
        <w:gridCol w:w="109"/>
        <w:gridCol w:w="109"/>
        <w:gridCol w:w="211"/>
        <w:gridCol w:w="82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27, 2025</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28, 2024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110,353 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2023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(1) Identifiable long-lived assets exclude ROU assets, goodwill and intangible assets.</w:t>
      </w:r>
    </w:p>
    <w:p>
      <w:pPr>
        <w:pStyle w:val="TextBody"/>
        <w:bidi w:val="0"/>
        <w:spacing w:before="100" w:after="283"/>
        <w:jc w:val="both"/>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recent years, the Company completed a series of acquisitions that changed its technological capabilities, applications and end markets. As these acquisitions and changes occurred, the Company's proportion of revenue derived from the sale of components in different technological areas, and modules, sub-assemblies and integrated solutions which combine technologies into more complex diverse products has shifted. The following tables present revenue consistent with the Company's strategy of expanding its technological capabilities and program content. As additional information related to the Company’s products by end user, application, product grouping and/or platform is attained, the categorization of these products can vary over time. When this occurs, the Company reclassifies revenue by end user, application, product grouping and/or platform for prior periods. Such reclassifications typically do not materially change the underlying trends of results within each revenue category.</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market for the periods presented:</w:t>
      </w:r>
    </w:p>
    <w:tbl>
      <w:tblPr>
        <w:tblW w:w="8106" w:type="dxa"/>
        <w:jc w:val="left"/>
        <w:tblInd w:w="0" w:type="dxa"/>
        <w:tblLayout w:type="fixed"/>
        <w:tblCellMar>
          <w:top w:w="28" w:type="dxa"/>
          <w:left w:w="28" w:type="dxa"/>
          <w:bottom w:w="28" w:type="dxa"/>
          <w:right w:w="28" w:type="dxa"/>
        </w:tblCellMar>
      </w:tblPr>
      <w:tblGrid>
        <w:gridCol w:w="1198"/>
        <w:gridCol w:w="1053"/>
        <w:gridCol w:w="106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International/Foreign Military Sales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Domestic revenues consist of sales where the end user is within the U.S., as well as sales to prime defense contractor customers where the ultimate end user location is not defined. </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International/Foreign Military Sales consist of sales to U.S. prime defense contractor customers where the end user is outside the U.S., foreign military sales through the U.S. government, and direct sales to non-U.S. based customers intended for end use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application for the periods presented:</w:t>
      </w:r>
    </w:p>
    <w:tbl>
      <w:tblPr>
        <w:tblW w:w="6923" w:type="dxa"/>
        <w:jc w:val="left"/>
        <w:tblInd w:w="0" w:type="dxa"/>
        <w:tblLayout w:type="fixed"/>
        <w:tblCellMar>
          <w:top w:w="28" w:type="dxa"/>
          <w:left w:w="28" w:type="dxa"/>
          <w:bottom w:w="28" w:type="dxa"/>
          <w:right w:w="28" w:type="dxa"/>
        </w:tblCellMar>
      </w:tblPr>
      <w:tblGrid>
        <w:gridCol w:w="886"/>
        <w:gridCol w:w="780"/>
        <w:gridCol w:w="79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Radar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Warfare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Sensor and Effector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Sensor and Effector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C4I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Radar includes end-use applications where radio frequency signals are utilized to detect, track and identify objects.</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Electronic Warfare includes end-use applications comprising the offensive and defensive use of the electromagnetic spectrum.</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 xml:space="preserve">(3) Other Sensor and Effector products include all Sensor and Effector end markets other than Radar and Electronic Warfare. </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(4) C4I includes rugged secure rackmount servers that are designed to drive the most powerful military processing applications.</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(5) Other products include all component and other sales where the end use is not specified.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product grouping for the periods presented:</w:t>
      </w:r>
    </w:p>
    <w:tbl>
      <w:tblPr>
        <w:tblW w:w="7209"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Years Ended </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Modules and Sub-assemblies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Solutions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Components represent the basic building blocks of an electronic system. They generally perform a single function such as switching, storing or converting electronic signals. Some examples include power amplifiers and limiters, switches, oscillators, filters, equalizers, digital and analog converters, chips, MMICs (monolithic microwave integrated circuits) and memory and storage devices.</w:t>
      </w:r>
    </w:p>
    <w:p>
      <w:pPr>
        <w:pStyle w:val="TextBody"/>
        <w:bidi w:val="0"/>
        <w:spacing w:lineRule="auto" w:line="268"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(2) Modules and sub-assemblies combine multiple components to serve a range of complex functions, including processing, networking and graphics display. Typically delivered as computer boards or other packaging, modules and sub-assemblies are usually designed using open standards to provide interoperability when integrated in a subsystem. Examples of modules and sub-assemblies include embedded processing boards, switched fabrics and boards for high-speed input/output, digital receivers, graphics and video, along with multi-chip modules. Additional examples include integrated radio frequency and microwave multi-function assemblies and radio frequency tuners and transceivers.</w:t>
      </w:r>
    </w:p>
    <w:p>
      <w:pPr>
        <w:pStyle w:val="TextBody"/>
        <w:bidi w:val="0"/>
        <w:spacing w:lineRule="auto" w:line="268"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(3) Integrated solutions bring components, modules and/or sub-assemblies into one system, enabled with software. Subsystems are typically, but not always, integrated within an open standards-based chassis and often feature interconnect technologies to enable communication between disparate systems. Spares and replacement modules and sub-assemblies are provided for use with subsystems sold by the Company. The Company’s subsystems are deployed in sensor processing, aviation and mission computing and C4I applications.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platform for the periods presented:</w:t>
      </w:r>
    </w:p>
    <w:tbl>
      <w:tblPr>
        <w:tblW w:w="6189" w:type="dxa"/>
        <w:jc w:val="left"/>
        <w:tblInd w:w="0" w:type="dxa"/>
        <w:tblLayout w:type="fixed"/>
        <w:tblCellMar>
          <w:top w:w="28" w:type="dxa"/>
          <w:left w:w="28" w:type="dxa"/>
          <w:bottom w:w="28" w:type="dxa"/>
          <w:right w:w="28" w:type="dxa"/>
        </w:tblCellMar>
      </w:tblPr>
      <w:tblGrid>
        <w:gridCol w:w="623"/>
        <w:gridCol w:w="550"/>
        <w:gridCol w:w="55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Years Ended </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Naval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Space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(1) Airborne platform includes products that relate to personnel, equipment or pieces of equipment designed for airborne applications.</w:t>
      </w:r>
    </w:p>
    <w:p>
      <w:pPr>
        <w:pStyle w:val="TextBody"/>
        <w:bidi w:val="0"/>
        <w:spacing w:lineRule="auto" w:line="276"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(2) Land platform includes products that relate to fixed or mobile equipment, or pieces of equipment for personnel, weapon systems, vehicles and support elements operating on land.</w:t>
      </w:r>
    </w:p>
    <w:p>
      <w:pPr>
        <w:pStyle w:val="TextBody"/>
        <w:bidi w:val="0"/>
        <w:spacing w:lineRule="auto" w:line="276"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(3) Naval platform includes products that relate to personnel, equipment or pieces of equipment designed for naval operations.</w:t>
      </w:r>
    </w:p>
    <w:p>
      <w:pPr>
        <w:pStyle w:val="TextBody"/>
        <w:bidi w:val="0"/>
        <w:spacing w:lineRule="auto" w:line="276"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(4) Space platform includes products that relate to personnel, equipment or pieces of equipment designed for space operations.</w:t>
      </w:r>
    </w:p>
    <w:p>
      <w:pPr>
        <w:pStyle w:val="TextBody"/>
        <w:bidi w:val="0"/>
        <w:spacing w:lineRule="auto" w:line="276"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(5) All platforms other than Airborne, Land, Naval or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Customers comprising 10% or more of the Company’s revenues for the periods shown below are as follows:</w:t>
      </w:r>
    </w:p>
    <w:tbl>
      <w:tblPr>
        <w:tblW w:w="6637" w:type="dxa"/>
        <w:jc w:val="left"/>
        <w:tblInd w:w="0" w:type="dxa"/>
        <w:tblLayout w:type="fixed"/>
        <w:tblCellMar>
          <w:top w:w="28" w:type="dxa"/>
          <w:left w:w="28" w:type="dxa"/>
          <w:bottom w:w="28" w:type="dxa"/>
          <w:right w:w="28" w:type="dxa"/>
        </w:tblCellMar>
      </w:tblPr>
      <w:tblGrid>
        <w:gridCol w:w="929"/>
        <w:gridCol w:w="817"/>
        <w:gridCol w:w="819"/>
        <w:gridCol w:w="250"/>
        <w:gridCol w:w="250"/>
        <w:gridCol w:w="624"/>
        <w:gridCol w:w="109"/>
        <w:gridCol w:w="109"/>
        <w:gridCol w:w="109"/>
        <w:gridCol w:w="250"/>
        <w:gridCol w:w="250"/>
        <w:gridCol w:w="624"/>
        <w:gridCol w:w="109"/>
        <w:gridCol w:w="109"/>
        <w:gridCol w:w="109"/>
        <w:gridCol w:w="239"/>
        <w:gridCol w:w="239"/>
        <w:gridCol w:w="692"/>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Navy</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L3Harris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Indicates that the amount is less than 10% of the Company's revenue for the respective period.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While the Company typically has customers from which it derives 10% or more of its revenue, the sales to each of these customers are spread across multiple programs and platforms. There were no programs comprising 10% or more of the Company's revenues for the years ended June 27, 2025, June 28, 2024 and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Q.Derivatives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interest rate derivatives to mitigate interest rate exposure with respect to its financing arrangements. On September 7, 2022, the Company entered into an interest rate Swap (the “Initial Swap”) with JP Morgan Chase Bank, N.A. (“JPMorgan”) for a notional amount of $300,000 in order to fix the interest rate associated with a portion of the total $511,500 existing borrowings on the Revolver at a rate of 3.25%. The Initial Swap agreement was designated and qualified for hedge accounting treatment as a cash flow hedge. The Initial Swap was scheduled to mature on February 28, 2027, coterminous with the maturity of the Revolver.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2022, the Company terminated the Initial Swap. At the time of termination, the fair value of the Initial Swap was an asset of $5,995. The Company received the cash settlement of $5,995 and these proceeds are classified within Operating Activities of the Consolidated Statements of Cash Flows for the year ended June 30, 2023.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Following the termination of the Initial Swap, the Company entered into the September 2022 Swap agreement with JPMorgan on September 29, 2022. The September 2022 Swap fixed $300,000 of total $511,500 existing borrowings on the Revolver at the time of the Swap at a rate of 3.79%. The Swap agreement was designated and qualified for hedge accounting treatment as a cash flow hedge. The Swap was scheduled to mature on February 28, 2027, coterminous with the maturity of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28, 2023, the Company terminated the September 2022 Swap. At the time of termination, the fair value of the Swap was an asset of $7,403. The Company received the cash settlement of $7,403 and these proceeds are classified within Operating Activities of the Consolidated Statements of Cash Flows for the year ended June 30, 2024.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Following the termination of the September 2022 Swap, the Company entered into the September 2023 Swap agreement on September 28, 2023 with JPMorgan for a notional amount of $300,000 in order to fix the interest rate associated with a portion of the total $576,500 existing borrowings on Company's Revolver at the time of the Swap at 4.66%. The September 2023 Swap agreement was designated and qualified for hedge accounting treatment as a cash flow hedge. The September 2023 Swap matures on February 28, 2027, coterminous with the maturity of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27, 2025, the fair value of the September 2023 Swap was a liability of $5,391 and is included within Other non-current liabilities in the Company's Consolidated Balance Sheets.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year 2025, the Company amortized $3,524 of the gains associated with the interest swaps terminated on September 29, 2022 and September 28, 2023, which is included within Accumulated other comprehensive income.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the Company’s derivative instrument is the result of interest rate movements that are expected to offset the market risk of the underlying arrangement. The counterparty to the Swap is JPMorgan. Based on the credit ratings of the Company’s counterparty as of June 27, 2025,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the counterparty to meet the terms of their contracts) are generally limited to the amounts, if any, by which the counterparty obligations under the contracts exceed the obligations of the Company to the counterparty. As a result of the above considerations, the Company does not consider the risk of counterparty default to be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R.</w:t>
      </w:r>
      <w:r>
        <w:rPr>
          <w:rFonts w:ascii="Times New Roman;serif" w:hAnsi="Times New Roman;serif"/>
          <w:b/>
          <w:color w:val="000000"/>
          <w:sz w:val="20"/>
        </w:rPr>
        <w:t>Subsequent Events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from the date of the Consolidated Balance Sheet through the date the consolidated financial statements were issued and noted no items requiring adjustment of the financial statements or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180" w:after="283"/>
        <w:ind w:left="0" w:right="0" w:hanging="360"/>
        <w:jc w:val="left"/>
        <w:rPr/>
      </w:pPr>
      <w:r>
        <w:rPr>
          <w:rFonts w:ascii="Times New Roman;serif" w:hAnsi="Times New Roman;serif"/>
          <w:b w:val="false"/>
          <w:color w:val="000000"/>
          <w:sz w:val="20"/>
        </w:rPr>
        <w:t>(a)E</w:t>
      </w:r>
      <w:r>
        <w:rPr>
          <w:rFonts w:ascii="Times New Roman;serif" w:hAnsi="Times New Roman;serif"/>
          <w:b w:val="false"/>
          <w:color w:val="000000"/>
          <w:sz w:val="16"/>
        </w:rPr>
        <w:t>FFECTIVENESS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D</w:t>
      </w:r>
      <w:r>
        <w:rPr>
          <w:rFonts w:ascii="Times New Roman;serif" w:hAnsi="Times New Roman;serif"/>
          <w:b w:val="false"/>
          <w:color w:val="000000"/>
          <w:sz w:val="16"/>
        </w:rPr>
        <w:t>ISCLOSURE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ONTROLS</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ROCEDURES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conducted an evaluation as of June 27, 2025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27, 2025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pStyle w:val="TextBody"/>
        <w:bidi w:val="0"/>
        <w:spacing w:lineRule="auto" w:line="288" w:before="180" w:after="283"/>
        <w:ind w:left="0" w:right="0" w:hanging="360"/>
        <w:jc w:val="left"/>
        <w:rPr/>
      </w:pPr>
      <w:r>
        <w:rPr>
          <w:rFonts w:ascii="Times New Roman;serif" w:hAnsi="Times New Roman;serif"/>
          <w:b w:val="false"/>
          <w:color w:val="000000"/>
          <w:sz w:val="20"/>
        </w:rPr>
        <w:t>(b)I</w:t>
      </w:r>
      <w:r>
        <w:rPr>
          <w:rFonts w:ascii="Times New Roman;serif" w:hAnsi="Times New Roman;serif"/>
          <w:b w:val="false"/>
          <w:color w:val="000000"/>
          <w:sz w:val="16"/>
        </w:rPr>
        <w:t>NHERENT</w:t>
      </w:r>
      <w:r>
        <w:rPr>
          <w:color w:val="000000"/>
        </w:rPr>
        <w:t xml:space="preserve"> </w:t>
      </w:r>
      <w:r>
        <w:rPr>
          <w:rFonts w:ascii="Times New Roman;serif" w:hAnsi="Times New Roman;serif"/>
          <w:b w:val="false"/>
          <w:color w:val="000000"/>
          <w:sz w:val="20"/>
        </w:rPr>
        <w:t>L</w:t>
      </w:r>
      <w:r>
        <w:rPr>
          <w:rFonts w:ascii="Times New Roman;serif" w:hAnsi="Times New Roman;serif"/>
          <w:b w:val="false"/>
          <w:color w:val="000000"/>
          <w:sz w:val="16"/>
        </w:rPr>
        <w:t>IMITATIONS</w:t>
      </w:r>
      <w:r>
        <w:rPr>
          <w:color w:val="000000"/>
        </w:rPr>
        <w:t xml:space="preserve"> </w:t>
      </w:r>
      <w:r>
        <w:rPr>
          <w:rFonts w:ascii="Times New Roman;serif" w:hAnsi="Times New Roman;serif"/>
          <w:b w:val="false"/>
          <w:color w:val="000000"/>
          <w:sz w:val="16"/>
        </w:rPr>
        <w:t>ON</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FFECTIVENESS</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283"/>
        <w:ind w:left="0" w:right="0" w:hanging="360"/>
        <w:jc w:val="left"/>
        <w:rPr/>
      </w:pPr>
      <w:r>
        <w:rPr>
          <w:rFonts w:ascii="Times New Roman;serif" w:hAnsi="Times New Roman;serif"/>
          <w:b w:val="false"/>
          <w:color w:val="000000"/>
          <w:sz w:val="20"/>
        </w:rPr>
        <w:t>(c)M</w:t>
      </w:r>
      <w:r>
        <w:rPr>
          <w:rFonts w:ascii="Times New Roman;serif" w:hAnsi="Times New Roman;serif"/>
          <w:b w:val="false"/>
          <w:color w:val="000000"/>
          <w:sz w:val="16"/>
        </w:rPr>
        <w:t>ANAGEMENT</w:t>
      </w:r>
      <w:r>
        <w:rPr>
          <w:color w:val="000000"/>
        </w:rPr>
        <w:t>’</w:t>
      </w:r>
      <w:r>
        <w:rPr>
          <w:rFonts w:ascii="Times New Roman;serif" w:hAnsi="Times New Roman;serif"/>
          <w:b w:val="false"/>
          <w:color w:val="000000"/>
          <w:sz w:val="16"/>
        </w:rPr>
        <w:t>S</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NNUAL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w:t>
      </w:r>
      <w:r>
        <w:rPr>
          <w:color w:val="000000"/>
        </w:rPr>
        <w:t xml:space="preserve"> </w:t>
      </w:r>
      <w:r>
        <w:rPr>
          <w:rFonts w:ascii="Times New Roman;serif" w:hAnsi="Times New Roman;serif"/>
          <w:b w:val="false"/>
          <w:color w:val="000000"/>
          <w:sz w:val="16"/>
        </w:rPr>
        <w:t>ON</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NTERNAL</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VER</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16"/>
        </w:rPr>
        <w:t>INANCIAL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27, 2025 based on the framework in Internal Control - Integrated Framework (2013) published by the Committee of Sponsoring Organizations of the Treadway Commission. As a result of this assessment, management concluded that our internal control over financial reporting was effective as of June 27, 2025. The effectiveness of our internal control over financial reporting as of June 27, 2025 has been audited by KPMG LLP, an independent registered public accounting firm, as stated in its report.</w:t>
      </w:r>
    </w:p>
    <w:p>
      <w:pPr>
        <w:pStyle w:val="TextBody"/>
        <w:bidi w:val="0"/>
        <w:spacing w:lineRule="auto" w:line="288" w:before="180" w:after="283"/>
        <w:ind w:left="0" w:right="0" w:hanging="360"/>
        <w:jc w:val="left"/>
        <w:rPr/>
      </w:pPr>
      <w:r>
        <w:rPr>
          <w:rFonts w:ascii="Times New Roman;serif" w:hAnsi="Times New Roman;serif"/>
          <w:b w:val="false"/>
          <w:color w:val="000000"/>
          <w:sz w:val="20"/>
        </w:rPr>
        <w:t>(d)C</w:t>
      </w:r>
      <w:r>
        <w:rPr>
          <w:rFonts w:ascii="Times New Roman;serif" w:hAnsi="Times New Roman;serif"/>
          <w:b w:val="false"/>
          <w:color w:val="000000"/>
          <w:sz w:val="16"/>
        </w:rPr>
        <w:t>HANGES</w:t>
      </w:r>
      <w:r>
        <w:rPr>
          <w:color w:val="000000"/>
        </w:rPr>
        <w:t xml:space="preserve"> </w:t>
      </w:r>
      <w:r>
        <w:rPr>
          <w:rFonts w:ascii="Times New Roman;serif" w:hAnsi="Times New Roman;serif"/>
          <w:b w:val="false"/>
          <w:color w:val="000000"/>
          <w:sz w:val="16"/>
        </w:rPr>
        <w:t>IN</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NTERNAL</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ONTROL</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VER</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16"/>
        </w:rPr>
        <w:t>INANCIAL</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EPORTING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fourth quarter of fiscal 2025 identified in connection with our Chief Executive Officer’s and Chief Financial Officer’s evaluation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fourth quarter ended June 27, 2025, none of the Company's directors or executive officers adopted, modified or terminated a Rule 10b5-1 trading arrangement or non-Rule 10b5-1 trading arrangement as each term is defined in Section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85fbab4b39f490a947cf0bf74aa845a_196">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our 2025 Annual Meeting of Shareholders (the “Shareholders Meeting”), except that information required by this item concerning our executive officers appears in Part I, Item 4.1.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Boston, MA, Auditor Firm ID:185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for the Shareholders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350"/>
        <w:jc w:val="left"/>
        <w:rPr>
          <w:rFonts w:ascii="Times New Roman;serif" w:hAnsi="Times New Roman;serif"/>
          <w:b/>
          <w:color w:val="000000"/>
          <w:sz w:val="20"/>
        </w:rPr>
      </w:pPr>
      <w:r>
        <w:rPr>
          <w:rFonts w:ascii="Times New Roman;serif" w:hAnsi="Times New Roman;serif"/>
          <w:b/>
          <w:color w:val="000000"/>
          <w:sz w:val="20"/>
        </w:rPr>
        <w:t>ITEM 15.EXHIBITS AND FINANCIAL STATEMENT SCHEDULES</w:t>
      </w:r>
    </w:p>
    <w:p>
      <w:pPr>
        <w:pStyle w:val="TextBody"/>
        <w:bidi w:val="0"/>
        <w:spacing w:lineRule="auto" w:line="288" w:before="180" w:after="283"/>
        <w:jc w:val="left"/>
        <w:rPr/>
      </w:pPr>
      <w:r>
        <w:rPr>
          <w:rFonts w:ascii="Times New Roman;serif" w:hAnsi="Times New Roman;serif"/>
          <w:b w:val="false"/>
          <w:color w:val="000000"/>
          <w:sz w:val="20"/>
        </w:rPr>
        <w:t>(a)</w:t>
      </w:r>
      <w:r>
        <w:rPr>
          <w:rFonts w:ascii="Times New Roman;serif" w:hAnsi="Times New Roman;serif"/>
          <w:b w:val="false"/>
          <w:color w:val="000000"/>
          <w:sz w:val="20"/>
        </w:rPr>
        <w:t>FINANCIAL STATEMENTS, SCHEDULES AND EXHIBITS</w:t>
      </w:r>
    </w:p>
    <w:p>
      <w:pPr>
        <w:pStyle w:val="TextBody"/>
        <w:bidi w:val="0"/>
        <w:spacing w:lineRule="auto" w:line="288" w:before="18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schedule, and exhibits listed below are included in or incorporated by reference as part of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27, 2025 and June 28,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 for the fiscal years ended June 27, 2025, June 28, 2024, and June 30, 2023</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Shareholders’ Equity for the fiscal years ended June 27, 2025, June 28, 2024, and June 30, 2023 </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June 27, 2025, June 28, 2024, and June 30, 2023</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II.Valuation and Qualifying Accounts</w:t>
      </w:r>
    </w:p>
    <w:p>
      <w:pPr>
        <w:pStyle w:val="TextBody"/>
        <w:bidi w:val="0"/>
        <w:spacing w:before="100" w:after="283"/>
        <w:jc w:val="left"/>
        <w:rPr/>
      </w:pPr>
      <w:r>
        <w:rPr/>
      </w:r>
    </w:p>
    <w:p>
      <w:pPr>
        <w:pStyle w:val="TextBody"/>
        <w:bidi w:val="0"/>
        <w:spacing w:before="180" w:after="283"/>
        <w:ind w:left="0" w:right="0" w:hanging="13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35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SCHEDULE II—VALUATION AND QUALIFYING ACCOUNTS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FISCAL YEARS ENDED JUNE 27, 2025, JUNE 28, 2024, and JUNE 30, 2023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Accounts receivable, Unbilled receivables and costs in excess of billings, allowance for credit losses</w:t>
      </w:r>
    </w:p>
    <w:tbl>
      <w:tblPr>
        <w:tblW w:w="7024" w:type="dxa"/>
        <w:jc w:val="center"/>
        <w:tblInd w:w="0" w:type="dxa"/>
        <w:tblLayout w:type="fixed"/>
        <w:tblCellMar>
          <w:top w:w="28" w:type="dxa"/>
          <w:left w:w="28" w:type="dxa"/>
          <w:bottom w:w="28" w:type="dxa"/>
          <w:right w:w="28" w:type="dxa"/>
        </w:tblCellMar>
      </w:tblPr>
      <w:tblGrid>
        <w:gridCol w:w="196"/>
        <w:gridCol w:w="172"/>
        <w:gridCol w:w="173"/>
        <w:gridCol w:w="240"/>
        <w:gridCol w:w="701"/>
        <w:gridCol w:w="125"/>
        <w:gridCol w:w="109"/>
        <w:gridCol w:w="109"/>
        <w:gridCol w:w="109"/>
        <w:gridCol w:w="211"/>
        <w:gridCol w:w="721"/>
        <w:gridCol w:w="109"/>
        <w:gridCol w:w="109"/>
        <w:gridCol w:w="109"/>
        <w:gridCol w:w="109"/>
        <w:gridCol w:w="290"/>
        <w:gridCol w:w="640"/>
        <w:gridCol w:w="151"/>
        <w:gridCol w:w="109"/>
        <w:gridCol w:w="109"/>
        <w:gridCol w:w="109"/>
        <w:gridCol w:w="211"/>
        <w:gridCol w:w="616"/>
        <w:gridCol w:w="109"/>
        <w:gridCol w:w="109"/>
        <w:gridCol w:w="109"/>
        <w:gridCol w:w="109"/>
        <w:gridCol w:w="226"/>
        <w:gridCol w:w="659"/>
        <w:gridCol w:w="16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w:t>
              <w:br/>
              <w:t>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 END OF</w:t>
              <w:br/>
              <w:t>PERIOD</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center"/>
        <w:rPr/>
      </w:pPr>
      <w:r>
        <w:rPr>
          <w:rFonts w:ascii="Times New Roman;serif" w:hAnsi="Times New Roman;serif"/>
          <w:b/>
          <w:color w:val="000000"/>
          <w:sz w:val="20"/>
        </w:rPr>
        <w:t>Deferred Tax Asset Valuation Allowance</w:t>
      </w:r>
      <w:r>
        <w:rPr>
          <w:color w:val="000000"/>
        </w:rPr>
        <w:t> </w:t>
      </w:r>
    </w:p>
    <w:tbl>
      <w:tblPr>
        <w:tblW w:w="7353" w:type="dxa"/>
        <w:jc w:val="center"/>
        <w:tblInd w:w="0" w:type="dxa"/>
        <w:tblLayout w:type="fixed"/>
        <w:tblCellMar>
          <w:top w:w="28" w:type="dxa"/>
          <w:left w:w="28" w:type="dxa"/>
          <w:bottom w:w="28" w:type="dxa"/>
          <w:right w:w="28" w:type="dxa"/>
        </w:tblCellMar>
      </w:tblPr>
      <w:tblGrid>
        <w:gridCol w:w="196"/>
        <w:gridCol w:w="172"/>
        <w:gridCol w:w="173"/>
        <w:gridCol w:w="216"/>
        <w:gridCol w:w="738"/>
        <w:gridCol w:w="112"/>
        <w:gridCol w:w="109"/>
        <w:gridCol w:w="109"/>
        <w:gridCol w:w="109"/>
        <w:gridCol w:w="250"/>
        <w:gridCol w:w="731"/>
        <w:gridCol w:w="130"/>
        <w:gridCol w:w="109"/>
        <w:gridCol w:w="109"/>
        <w:gridCol w:w="109"/>
        <w:gridCol w:w="229"/>
        <w:gridCol w:w="691"/>
        <w:gridCol w:w="120"/>
        <w:gridCol w:w="109"/>
        <w:gridCol w:w="109"/>
        <w:gridCol w:w="109"/>
        <w:gridCol w:w="349"/>
        <w:gridCol w:w="671"/>
        <w:gridCol w:w="181"/>
        <w:gridCol w:w="109"/>
        <w:gridCol w:w="109"/>
        <w:gridCol w:w="109"/>
        <w:gridCol w:w="211"/>
        <w:gridCol w:w="72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w:t>
              <w:br/>
              <w:t>TO COSTS &amp;</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w:t>
              <w:br/>
              <w:t>TO OTHER</w:t>
              <w:b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br/>
              <w:t>AT END OF</w:t>
              <w:br/>
              <w:t>PERIOD</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rFonts w:ascii="Times New Roman;serif" w:hAnsi="Times New Roman;serif"/>
          <w:b w:val="false"/>
          <w:color w:val="000000"/>
          <w:sz w:val="20"/>
        </w:rPr>
        <w:t>Exhibits: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Exhibits required by Item 601 of Regulation S-K are listed in the Exhibit Index on page 81, which is incorporated herein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in Andover, Massachusetts, on August 11, 2025.</w:t>
      </w:r>
    </w:p>
    <w:p>
      <w:pPr>
        <w:pStyle w:val="TextBody"/>
        <w:bidi w:val="0"/>
        <w:spacing w:lineRule="auto" w:line="288" w:before="0" w:after="0"/>
        <w:jc w:val="left"/>
        <w:rPr>
          <w:color w:val="000000"/>
        </w:rPr>
      </w:pPr>
      <w:r>
        <w:rPr>
          <w:color w:val="000000"/>
        </w:rPr>
        <w:t> </w:t>
      </w:r>
    </w:p>
    <w:tbl>
      <w:tblPr>
        <w:tblW w:w="6429" w:type="dxa"/>
        <w:jc w:val="left"/>
        <w:tblInd w:w="0" w:type="dxa"/>
        <w:tblLayout w:type="fixed"/>
        <w:tblCellMar>
          <w:top w:w="28" w:type="dxa"/>
          <w:left w:w="28" w:type="dxa"/>
          <w:bottom w:w="28" w:type="dxa"/>
          <w:right w:w="28" w:type="dxa"/>
        </w:tblCellMar>
      </w:tblPr>
      <w:tblGrid>
        <w:gridCol w:w="124"/>
        <w:gridCol w:w="109"/>
        <w:gridCol w:w="109"/>
        <w:gridCol w:w="389"/>
        <w:gridCol w:w="389"/>
        <w:gridCol w:w="389"/>
        <w:gridCol w:w="1431"/>
        <w:gridCol w:w="1431"/>
        <w:gridCol w:w="2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 FARNSWORTH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br/>
              <w:t>EXECUTIVE VICE PRESIDENT, CHIEF FINANCIAL OFFICER</w:t>
              <w:br/>
              <w:t>[PRINCIPAL FINANCIAL OFFICER]</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63"/>
        <w:gridCol w:w="728"/>
        <w:gridCol w:w="731"/>
        <w:gridCol w:w="109"/>
        <w:gridCol w:w="109"/>
        <w:gridCol w:w="109"/>
        <w:gridCol w:w="2015"/>
        <w:gridCol w:w="1970"/>
        <w:gridCol w:w="1995"/>
        <w:gridCol w:w="109"/>
        <w:gridCol w:w="109"/>
        <w:gridCol w:w="109"/>
        <w:gridCol w:w="363"/>
        <w:gridCol w:w="363"/>
        <w:gridCol w:w="523"/>
      </w:tblGrid>
      <w:tr>
        <w:trPr/>
        <w:tc>
          <w:tcPr>
            <w:tcW w:w="86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L. BALLHAUS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William L. Ballhaus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DOUGLAS D. MUNRO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Douglas D. Munro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ORLANDO P. CARVALHO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Orlando P. Carvalho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GERARD J. DEMURO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Gerard J. DeMuro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S. DISBROW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Lisa S. Disbrow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JEAN BUA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Jean Bua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HOWARD L. 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Howard L. 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R. NEARHOS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R. Nearhos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OSTFELD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Ostfeld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DEBORA A. PLUNKETT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r>
      <w:tr>
        <w:trPr/>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Debora A. Plunkett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806"/>
        <w:gridCol w:w="2559"/>
        <w:gridCol w:w="362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Organization (incorporated herein by reference to Exhibit 3.1.1 of the Company’s annual report on Form 10-K for the fiscal year ended June 30, 2009)</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of Amendment (incorporated herein by reference to Exhibit 3.1.2 of the Company’s annual report on Form 10-K for the fiscal year ended June 30, 2010)</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3.1.3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(incorporated herein by reference to Exhibit 1 of the Company’s registration statement on Form 8-A filed on December 15, 2005)</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3.1.4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Articles of Amendment (incorporated herein by reference to Exhibit 3.1 of the Company's current report on Form 8-K filed on November 13, 2012)</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3.1.5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Articles of Amendment (incorporated herein by reference to Exhibit 3.1 of the Company's current report on Form 8-K filed on June 30, 2015)</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3.1.6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Articles of Amendment (incorporated herein by reference to Exhibit 3.1 of the Company’s current report on Form 8-K filed on December 29, 2021)</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3.2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Bylaws, amended and restated, effective as of October 26, 2022 (incorporated herein by reference to Exhibit 3.1 of the Company’s current report on Form 8-K filed on October 28, 2022</w:t>
              </w:r>
            </w:hyperlink>
            <w:r>
              <w:rPr>
                <w:rFonts w:ascii="Times New Roman;serif" w:hAnsi="Times New Roman;serif"/>
                <w:b w:val="false"/>
                <w:color w:val="000000"/>
                <w:sz w:val="20"/>
              </w:rPr>
              <w: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Stock Certificate (incorporated herein by reference to Exhibit 4.1 of the Company’s Registration Statement on Form S-1/A filed on January 7, 1998)</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Description of Registrant's Securities (incorporated herein by reference to Exhibit 4.2 of the Company’s annual report on Form 10-K for the fiscal year ended July 3, 2020)</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2024 Employee Stock Purchase Plan (incorporated herein by reference to Exhibit 10.1 of the Company’s Registration Statement on Form S-8 filed May 8, 2024)</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Indemnification Agreement between the Company and each of its current directors (incorporated herein by reference to Exhibit 10.4 of the Company’s annual report on Form 10-K for the fiscal year ended June 30, 2009)</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2018 Stock Incentive Plan, as amended and restated (incorporated herein by reference to Exhibit 10.3 of the Company's annual report on Form 10-K for the fiscal year end June 28, 2024)</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10.4.1*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Stock Option Agreement under the 2018 Stock Incentive Plan (incorporated herein by reference to Exhibit 10.1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10.4.2*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Restricted Stock Award Agreement under the 2018 Stock Incentive Plan (incorporated herein by reference to Exhibit 10.2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10.4.3*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Deferred Stock Award Agreement under the 2018 Stock Incentive Plan (incorporated herein by reference to Exhibit 10.3 of the Company’s quarterly report on Form 10-Q for the quarter ended March 31, 2019)</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10.4.4*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Stock Option Agreement for performance stock options under the 2005 Stock Incentive Plan (incorporated herein by reference to Exhibit 10.1 of the Company’s current report on Form 8-K filed on September 28, 2007)</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10.4.5*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Performance-Based Restricted Stock Award Agreement under the 2018 Stock Incentive Plan (incorporated herein by reference to Exhibit 10.5 of the Company’s quarterly report on Form 10-Q for the quarter ended March 31, 2019)</w:t>
              </w:r>
            </w:hyperlink>
          </w:p>
        </w:tc>
      </w:tr>
      <w:tr>
        <w:trPr/>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10.5*</w:t>
              </w:r>
            </w:hyperlink>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Change in Control Severance Agreement between the Company and Non-CEO Executives (incorporated herein by reference to Exhibit 10.9.2 of the Company’s annual report on Form 10-K for the fiscal year ended June 30, 2011)</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698"/>
        <w:gridCol w:w="2605"/>
        <w:gridCol w:w="368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Compensation Policy for Non-Employee Directors (incorporated herein by reference to Exhibit 10.3 of the Company's annual report on Form 10-K for the fiscal year end June 28, 2024)</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10.7.1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Credit Agreement, dated May 2, 2016, among the Company, the Guarantors party thereto, the Lenders party thereto and Bank of America, N.A., as Administrative Agent (incorporated herein by reference to Exhibit 10.1 of the Company's current report on Form 8-K filed on May 2, 2016)</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10.7.2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Amendment No. 1 to Credit Agreement, dated June 27, 2017, among the Company, the Guarantors party thereto, the Lenders party thereto and Bank of America, N.A., as Administrative Agent (incorporated herein by reference to Exhibit 10.1 of the Company's current report on Form 8-K filed on June 27, 2017)</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10.7.3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Amendment No. 3 to Credit Agreement, dated September 28, 2018, among the Company, the Guarantors party thereto, the Lenders party thereto and Bank of America, N.A., as Administrative Agent (incorporated herein by reference to Exhibit 10.1 of the Company’s current report on Form 8-K filed on October 1, 2018)</w:t>
              </w:r>
            </w:hyperlink>
            <w:r>
              <w:rPr>
                <w:color w:val="000000"/>
              </w:rPr>
              <w:t xml:space="preserve"> </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10.7.4</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Amendment No. 4 to Credit Agreement, dated February 28, 2022, among the Company, the Guarantors party thereto, the Lenders party thereto and Bank of America, N.A., as Administrative Agent (incorporated herein by reference to Exhibit 10.1 of the Company’s current report on Form 8-K filed on February 28, 2022)</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10.7.5</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Amendment No. 5 to Credit Agreement, dated November 7, 2023, among the Company, the Guarantors party thereto, the Lenders party thereto and Bank of America, N.A., as Administrative Agent (incorporated by reference to Exhibit 10.1 of the Company’s current report on Form 8-K filed on November 7, 2023)</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10.7.6</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Amendment No. 6 to Credit Agreement, dated August 13, 2024, among the Company, the Guarantors party thereto, the Lenders party thereto and Bank of America, N.A., as Administrative Agent (incorporated by reference to Exhibit 10.1 of the Company’s current report on Form 8-K filed August 13, 2024)</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10.8*</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Form of Severance Benefits Agreement between the Company and Non-CEO Executives (incorporated herein by reference to Exhibit 10.14 of the Company's annual report on Form 10-K for the fiscal year ended June 30, 2019)</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10.9</w:t>
              </w:r>
            </w:hyperlink>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Employment Agreement, dated August 15, 2023, between the Company and William L. Ballhaus (incorporated herein by reference to Exhibit 10.1 of the Company’s current report on Form 8-K filed on August 15, 2023)</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10.10*</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Letter Agreement, dated June 20, 2023, between the Company and David E. Farnsworth (incorporated herein by reference to Exhibit 10.1 of the Company’s current report on Form 8-K filed on June 29, 2023)</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80"/>
                  <w:sz w:val="20"/>
                  <w:u w:val="single"/>
                </w:rPr>
                <w:t>10.1</w:t>
              </w:r>
            </w:hyperlink>
            <w:hyperlink r:id="rId59">
              <w:r>
                <w:rPr>
                  <w:rStyle w:val="InternetLink"/>
                  <w:rFonts w:ascii="Times New Roman;serif" w:hAnsi="Times New Roman;serif"/>
                  <w:b w:val="false"/>
                  <w:color w:val="000080"/>
                  <w:sz w:val="20"/>
                  <w:u w:val="single"/>
                </w:rPr>
                <w:t>1</w:t>
              </w:r>
            </w:hyperlink>
            <w:hyperlink r:id="rId60">
              <w:r>
                <w:rPr>
                  <w:rStyle w:val="InternetLink"/>
                  <w:rFonts w:ascii="Times New Roman;serif" w:hAnsi="Times New Roman;serif"/>
                  <w:b w:val="false"/>
                  <w:color w:val="000080"/>
                  <w:sz w:val="20"/>
                  <w:u w:val="single"/>
                </w:rPr>
                <w:t>*</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Deferred Compensation Matching Plan (incorporated herein by reference to Exhibit 99.1 of the Company’s Registration Statement on Form S-8 filed on November 9, 2023)</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80"/>
                  <w:sz w:val="20"/>
                  <w:u w:val="single"/>
                </w:rPr>
                <w:t>10.1</w:t>
              </w:r>
            </w:hyperlink>
            <w:hyperlink r:id="rId63">
              <w:r>
                <w:rPr>
                  <w:rStyle w:val="InternetLink"/>
                  <w:rFonts w:ascii="Times New Roman;serif" w:hAnsi="Times New Roman;serif"/>
                  <w:b w:val="false"/>
                  <w:color w:val="000080"/>
                  <w:sz w:val="20"/>
                  <w:u w:val="single"/>
                </w:rPr>
                <w:t>2</w:t>
              </w:r>
            </w:hyperlink>
            <w:hyperlink r:id="rId64">
              <w:r>
                <w:rPr>
                  <w:rStyle w:val="InternetLink"/>
                  <w:rFonts w:ascii="Times New Roman;serif" w:hAnsi="Times New Roman;serif"/>
                  <w:b w:val="false"/>
                  <w:color w:val="000080"/>
                  <w:sz w:val="20"/>
                  <w:u w:val="single"/>
                </w:rPr>
                <w:t>*</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Deferred Compensation Matching Plan Adoption Agreement (incorporated herein by reference to Exhibit 99.2 of the Company’s Registration Statement on Form S-8 filed on November 9, 2023)</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rsuagreementdavidfarnswo.htm">
              <w:r>
                <w:rPr>
                  <w:rStyle w:val="InternetLink"/>
                  <w:rFonts w:ascii="Times New Roman;serif" w:hAnsi="Times New Roman;serif"/>
                  <w:b w:val="false"/>
                  <w:color w:val="0000FF"/>
                  <w:sz w:val="20"/>
                  <w:u w:val="single"/>
                </w:rPr>
                <w:t>10.13*†</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rsuagreementdavidfarnswo.htm">
              <w:r>
                <w:rPr>
                  <w:rStyle w:val="InternetLink"/>
                  <w:rFonts w:ascii="Times New Roman;serif" w:hAnsi="Times New Roman;serif"/>
                  <w:b w:val="false"/>
                  <w:color w:val="0000FF"/>
                  <w:sz w:val="20"/>
                  <w:u w:val="single"/>
                </w:rPr>
                <w:t>Restricted Stock Unit Agreement, dated April 15, 2025, between the Company and David E. Farnsworth</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19.1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Insider Trading Policy (incorporated herein by reference to Exhibit 10.3 of the Company's annual report on Form 10-K for the fiscal year end June 28, 2024)</w:t>
              </w:r>
            </w:hyperlink>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2"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exhibit211.htm">
              <w:r>
                <w:rPr>
                  <w:rStyle w:val="InternetLink"/>
                  <w:rFonts w:ascii="Times New Roman;serif" w:hAnsi="Times New Roman;serif"/>
                  <w:b w:val="false"/>
                  <w:color w:val="0000FF"/>
                  <w:sz w:val="20"/>
                  <w:u w:val="single"/>
                </w:rPr>
                <w:t>21.1†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exhibit211.htm">
              <w:r>
                <w:rPr>
                  <w:rStyle w:val="InternetLink"/>
                  <w:rFonts w:ascii="Times New Roman;serif" w:hAnsi="Times New Roman;serif"/>
                  <w:b w:val="false"/>
                  <w:color w:val="0000FF"/>
                  <w:sz w:val="20"/>
                  <w:u w:val="single"/>
                </w:rPr>
                <w:t>Subsidiaries of the Company</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a2025_mercurysystemscons.htm">
              <w:r>
                <w:rPr>
                  <w:rStyle w:val="InternetLink"/>
                  <w:rFonts w:ascii="Times New Roman;serif" w:hAnsi="Times New Roman;serif"/>
                  <w:b w:val="false"/>
                  <w:color w:val="0000FF"/>
                  <w:sz w:val="20"/>
                  <w:u w:val="single"/>
                </w:rPr>
                <w:t>23.1†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2025_mercurysystemscons.htm">
              <w:r>
                <w:rPr>
                  <w:rStyle w:val="InternetLink"/>
                  <w:rFonts w:ascii="Times New Roman;serif" w:hAnsi="Times New Roman;serif"/>
                  <w:b w:val="false"/>
                  <w:color w:val="0000FF"/>
                  <w:sz w:val="20"/>
                  <w:u w:val="single"/>
                </w:rPr>
                <w:t>Consent of KPMG LLP</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mrcy6272025-exhibit311.htm">
              <w:r>
                <w:rPr>
                  <w:rStyle w:val="InternetLink"/>
                  <w:rFonts w:ascii="Times New Roman;serif" w:hAnsi="Times New Roman;serif"/>
                  <w:b w:val="false"/>
                  <w:color w:val="0000FF"/>
                  <w:sz w:val="20"/>
                  <w:u w:val="single"/>
                </w:rPr>
                <w:t>31.1†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mrcy6272025-exhibit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mrcy6272025-exhibit312.htm">
              <w:r>
                <w:rPr>
                  <w:rStyle w:val="InternetLink"/>
                  <w:rFonts w:ascii="Times New Roman;serif" w:hAnsi="Times New Roman;serif"/>
                  <w:b w:val="false"/>
                  <w:color w:val="0000FF"/>
                  <w:sz w:val="20"/>
                  <w:u w:val="single"/>
                </w:rPr>
                <w:t>31.2†</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mrcy6272025-exhibit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mrcy6272025-exhibit321.htm">
              <w:r>
                <w:rPr>
                  <w:rStyle w:val="InternetLink"/>
                  <w:rFonts w:ascii="Times New Roman;serif" w:hAnsi="Times New Roman;serif"/>
                  <w:b w:val="false"/>
                  <w:color w:val="0000FF"/>
                  <w:sz w:val="20"/>
                  <w:u w:val="single"/>
                </w:rPr>
                <w:t>32.1†</w:t>
              </w:r>
            </w:hyperlink>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mrcy6272025-exhibit321.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r>
      <w:tr>
        <w:trPr/>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97.1*</w:t>
              </w:r>
            </w:hyperlink>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Compensation Recoupment Policy (incorporated herein by reference to Exhibit 10.3 of the Company's annual report on Form 10-K for the fiscal year end June 28, 2024)</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85fbab4b39f490a947cf0bf74aa845a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709"/>
        <w:gridCol w:w="2600"/>
        <w:gridCol w:w="3683"/>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 (i) Consolidated Balance Sheet, (ii) Consolidated Statement of Operations, (iii) Consolidated Statement of Shareholders’ Equity, (iv) Consolidated Statement of Cash Flows, and (v) Notes to Consolidated Financial Statements</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eXtensible Business Reporting Language (XBRL) Instance Document - the instance document does not appear in the Interactive Data File because its XBRL tags are embedded within the Inline XBRL document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Identifies a management contract or compensatory plan or arrangement in which an executive officer or director of the Company participates.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with this Form 10-K.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tc>
      </w:tr>
    </w:tbl>
    <w:p>
      <w:pPr>
        <w:pStyle w:val="TextBody"/>
        <w:bidi w:val="0"/>
        <w:jc w:val="center"/>
        <w:rPr/>
      </w:pPr>
      <w:r>
        <w:rPr/>
      </w:r>
    </w:p>
    <w:p>
      <w:pPr>
        <w:pStyle w:val="TextBody"/>
        <w:bidi w:val="0"/>
        <w:spacing w:before="0" w:after="0"/>
        <w:jc w:val="center"/>
        <w:rPr/>
      </w:pPr>
      <w:bookmarkStart w:id="0" w:name="rsuagreementdavidfarnswo.htm"/>
      <w:bookmarkStart w:id="1" w:name="ksrsuagreementdavidfarnswo"/>
      <w:bookmarkEnd w:id="0"/>
      <w:bookmarkEnd w:id="1"/>
      <w:r>
        <w:rPr/>
        <w:drawing>
          <wp:inline distT="0" distB="0" distL="0" distR="0">
            <wp:extent cx="10048875" cy="13001625"/>
            <wp:effectExtent l="0" t="0" r="0" b="0"/>
            <wp:docPr id="8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jc w:val="center"/>
        <w:rPr>
          <w:color w:val="FFFFFF"/>
          <w:sz w:val="2"/>
        </w:rPr>
      </w:pPr>
      <w:r>
        <w:rPr>
          <w:color w:val="FFFFFF"/>
          <w:sz w:val="2"/>
        </w:rPr>
        <w:t xml:space="preserve">RESTRICTED STOCK UNIT AGREEMENT UNDER THE MERCURY SYSTEMS, INC. 2018 STOCK INCENTIVE PLAN Name of Grantee: David E Farnsworth No. of Phantom Stock Units Granted: 22,306 Grant Date: 04/15/2025 Pursuant to the Mercury Systems, Inc. 2018 Stock Incentive Plan (the “Plan”) as amended through the date hereof, Mercury Systems, Inc. (the “Company”) hereby grants a deferred stock award consisting of the number of phantom stock units listed above (an “Award”) to the Grantee named above. Each “phantom stock unit” shall relate to one share of Common Stock, par value $.01 per share (the “Stock”) of the Company specified above, subject to the restrictions and conditions set forth herein and in the Plan. 1. Restrictions on Transfer of Award. The Award shall not be sold, transferred, pledged, assigned or otherwise encumbered or disposed of by the Grantee, until (i) the phantom stock units have vested as provided in Section 2 of this Agreement, and (ii) shares have been issued pursuant to Section 4 of this Agreement. 2. Vesting of Phantom Stock Units. The phantom stock units shall vest in accordance with the schedule set forth below, subject to the acceleration events provided for under Paragraph 3. Incremental Number of Phantom Stock Units Vested Vesting Date 7,436 04/15/2026 7,435 04/15/2027 7,435 04/15/2028 3. Termination of Employment Prior to Full Vesting. If the Grantee’s employment with the Company and its Subsidiaries is terminated prior to the vesting of all phantom stock units hereunder, then except as may be otherwise set forth in any agreement between the Grantee and Company, the consequences of such termination shall be as follows: (a) If the Grantee’s employment is terminated: (i) by the Grantee on or after August 28, 2026, (ii) by the Grantee for Good Reason (as defined below) or (iii) by the Company without Cause (as defined below), and in the case of a termination referenced in clause (ii) or (iii) above, the Grantee and the Company execute a mutually acceptable separation agreement that is not revoked within the applicable statutory period, then such termination of employment shall have no impact on the continued vesting of the phantom stock units awarded hereunder. For purposes of this paragraph, the terms Good Reason and Cause shall have the respective meanings ascribed to them in the Severance Benefits Letter Agreement between the Grantee and the Company dated August 17, 2023 (as the same may be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If the Grantee’s employment is terminated by reason of death or Disability (as defined in Section 13(c)(ii) of the Plan), then the vesting date for all remaining phantom stock units that have not yet vested shall be accelerated to be the date of such termination of employment. (c) Any unvested phantom stock units that do not continue to vest under Paragraph (a) above or become vested under Paragraph (b) above shall be automatically forfeited to the Company. 4. Receipt of Shares of Stock. (a) As soon as practicable following each vesting date, the Company shall direct its transfer agent to issue to the Grantee in book entry form the number of shares of Stock equal to the number of phantom stock units credited to the Grantee that have vested pursuant to Section 2 of this Agreement on such date in satisfaction of such phantom stock units. (b) In each instance above, the issuance of shares of Stock shall be subject to the payment by the Grantee by cash or other means acceptable to the Company of any federal, state, local and other applicable taxes required to be withheld in connection with such issuance in accordance with Section 7 of this Agreement. The Grantee understands that once shares have been delivered by book entry to the Grantee in respect of the phantom stock units, the Grantee will be free to sell such shares of Stock, subject to applicable requirements of federal and state securities laws. 5. Incorporation of Plan.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6. Transferability of this Agreement. This Agreement is personal to the Grantee, is non-assignable and is not transferable in any manner, by operation of law or otherwise, other than by will or the laws of descent and distribution. 7. Tax Withholding.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Grantee may elect to have the required minimum tax withholding obligation satisfied, in whole or in part, by (i) authorizing the Company to withhold from shares of Stock to be issued, or (ii) transferring to the Company, a number of shares of Stock with an aggregate Fair Market Value that would satisfy the withholding amount due. 8. Miscellaneous. (a) Notice hereunder shall be given to the Company at its principal place of business, and shall be given to the Grantee at the address set forth below, or in either case at such other address as one party may subsequently furnish to the other party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This Agreement does not confer upon the Grantee any rights with respect to continuation of employment by the Company or any Subsidiary. MERCURY SYSTEMS, INC. By: Steve Ratner Title: Chief Human Resources Officer The foregoing Agreement is hereby accepted and the terms and conditions thereof hereby agreed to by the undersigned. Dated: 05/04/2025 David E Farnsworth Grantee’s Signature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211.htm"/>
      <w:bookmarkStart w:id="3" w:name="ksexhibit211"/>
      <w:bookmarkEnd w:id="2"/>
      <w:bookmarkEnd w:id="3"/>
      <w:r>
        <w:rPr/>
        <w:drawing>
          <wp:inline distT="0" distB="0" distL="0" distR="0">
            <wp:extent cx="10048875" cy="13001625"/>
            <wp:effectExtent l="0" t="0" r="0" b="0"/>
            <wp:docPr id="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21.1 SUBSIDIARIES OF THE REGISTRANT NAME JURISDICTION OF ORGANIZATION Mercury Mission Systems, LLC Delaware Mercury Computer Systems Limited United Kingdom Mercury Mission Systems Canada, Inc. Canada Mercury Mission Systems International Holding, SA Switzerland Mercury Mission Systems International, SA Switzerland Mercury Mission Systems Spain, SL Spain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2025_mercurysystemscons.htm"/>
      <w:bookmarkStart w:id="5" w:name="ksa2025_mercurysystemscons"/>
      <w:bookmarkEnd w:id="4"/>
      <w:bookmarkEnd w:id="5"/>
      <w:r>
        <w:rPr/>
        <w:drawing>
          <wp:inline distT="0" distB="0" distL="0" distR="0">
            <wp:extent cx="10048875" cy="13001625"/>
            <wp:effectExtent l="0" t="0" r="0" b="0"/>
            <wp:docPr id="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the registration statements (Nos. 333-228617, 333-234534, 333-250039, 333-260915, 333-268244, 333-275403, 333-275429, and 333-279207) on Form S-8 and the registration statement (No. 333-275858) on Form S-3ASR of our report dated August 11, 2025, with respect to the consolidated financial statements of Mercury Systems, Inc. and subsidiaries and the effectiveness of internal control over financial reporting. /s/ KPMG LLP Boston, Massachusetts August 11,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331"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William L. Ballhaus, certify that: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Mercury Systems, Inc.;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11, 2025</w:t>
      </w:r>
    </w:p>
    <w:p>
      <w:pPr>
        <w:pStyle w:val="TextBody"/>
        <w:bidi w:val="0"/>
        <w:spacing w:lineRule="auto" w:line="331" w:before="0" w:after="0"/>
        <w:jc w:val="left"/>
        <w:rPr>
          <w:color w:val="000000"/>
        </w:rPr>
      </w:pPr>
      <w:r>
        <w:rPr>
          <w:color w:val="000000"/>
        </w:rPr>
        <w:t> </w:t>
      </w:r>
    </w:p>
    <w:tbl>
      <w:tblPr>
        <w:tblW w:w="4515" w:type="dxa"/>
        <w:jc w:val="left"/>
        <w:tblInd w:w="0" w:type="dxa"/>
        <w:tblLayout w:type="fixed"/>
        <w:tblCellMar>
          <w:top w:w="28" w:type="dxa"/>
          <w:left w:w="28" w:type="dxa"/>
          <w:bottom w:w="28" w:type="dxa"/>
          <w:right w:w="28" w:type="dxa"/>
        </w:tblCellMar>
      </w:tblPr>
      <w:tblGrid>
        <w:gridCol w:w="1445"/>
        <w:gridCol w:w="1271"/>
        <w:gridCol w:w="1799"/>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WILLIAM L. BALLHAUS</w:t>
            </w:r>
            <w:r>
              <w:rPr>
                <w:color w:val="000000"/>
              </w:rPr>
              <w:t>        </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William L. Ballhaus</w:t>
            </w:r>
          </w:p>
        </w:tc>
      </w:tr>
      <w:tr>
        <w:trPr/>
        <w:tc>
          <w:tcPr>
            <w:tcW w:w="4515"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CHAIRMAN, PRESIDENT AND CHIEF EXECUTIVE OFFICER</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1" w:before="0" w:after="0"/>
        <w:jc w:val="right"/>
        <w:rPr>
          <w:color w:val="000000"/>
        </w:rPr>
      </w:pPr>
      <w:r>
        <w:rPr>
          <w:color w:val="000000"/>
        </w:rPr>
        <w:t> </w:t>
      </w:r>
    </w:p>
    <w:p>
      <w:pPr>
        <w:pStyle w:val="TextBody"/>
        <w:bidi w:val="0"/>
        <w:spacing w:lineRule="auto" w:line="331"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331"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David E. Farnsworth, certify that: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Mercury Systems, Inc.;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1"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11, 2025 </w:t>
      </w:r>
    </w:p>
    <w:p>
      <w:pPr>
        <w:pStyle w:val="TextBody"/>
        <w:bidi w:val="0"/>
        <w:spacing w:lineRule="auto" w:line="331" w:before="0" w:after="0"/>
        <w:jc w:val="left"/>
        <w:rPr>
          <w:color w:val="000000"/>
        </w:rPr>
      </w:pPr>
      <w:r>
        <w:rPr>
          <w:color w:val="000000"/>
        </w:rPr>
        <w:t> </w:t>
      </w:r>
    </w:p>
    <w:tbl>
      <w:tblPr>
        <w:tblW w:w="2820" w:type="dxa"/>
        <w:jc w:val="left"/>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DAVID E. FARNSWORTH</w:t>
            </w:r>
            <w:r>
              <w:rPr>
                <w:color w:val="000000"/>
              </w:rPr>
              <w:t> </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David E. Farnsworth</w:t>
            </w:r>
          </w:p>
        </w:tc>
      </w:tr>
      <w:tr>
        <w:trPr/>
        <w:tc>
          <w:tcPr>
            <w:tcW w:w="2820" w:type="dxa"/>
            <w:gridSpan w:val="3"/>
            <w:tcBorders/>
            <w:tcMar>
              <w:top w:w="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EXECUTIVE VICE PRESIDENT,</w:t>
            </w:r>
          </w:p>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CHIEF FINANCIAL OFFICER</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[PRINCIPAL FINANCIAL OFFICER]</w:t>
            </w:r>
          </w:p>
        </w:tc>
      </w:tr>
    </w:tbl>
    <w:p>
      <w:pPr>
        <w:pStyle w:val="TextBody"/>
        <w:bidi w:val="0"/>
        <w:spacing w:lineRule="auto" w:line="331" w:before="180" w:after="283"/>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80" w:after="283"/>
        <w:jc w:val="right"/>
        <w:rPr/>
      </w:pPr>
      <w:r>
        <w:rPr>
          <w:color w:val="000000"/>
        </w:rPr>
        <w:t> </w:t>
      </w:r>
      <w:r>
        <w:rPr>
          <w:rFonts w:ascii="Times New Roman;serif" w:hAnsi="Times New Roman;serif"/>
          <w:b/>
          <w:color w:val="000000"/>
          <w:sz w:val="20"/>
        </w:rPr>
        <w:t xml:space="preserve">EXHIBIT 32.1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Mercury Systems, Inc.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Certification Pursuant To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18 U.S.C. Section 1350,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Adopted Pursuant To </w:t>
      </w:r>
    </w:p>
    <w:p>
      <w:pPr>
        <w:pStyle w:val="TextBody"/>
        <w:bidi w:val="0"/>
        <w:spacing w:lineRule="auto" w:line="33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Section 906 of the Sarbanes-Oxley Act of 2002 </w:t>
      </w:r>
    </w:p>
    <w:p>
      <w:pPr>
        <w:pStyle w:val="TextBody"/>
        <w:bidi w:val="0"/>
        <w:spacing w:lineRule="auto" w:line="331"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Mercury Systems, Inc. (the “Company”) on Form 10-K for the fiscal year ended June 27, 2025 as filed with the Securities and Exchange Commission (the “Report”), we, William L. Ballhaus, Chairman, President and Chief Executive Officer of the Company, and David Farnsworth, Executive Vice President, Chief Financial Officer,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 </w:t>
      </w:r>
    </w:p>
    <w:p>
      <w:pPr>
        <w:pStyle w:val="TextBody"/>
        <w:bidi w:val="0"/>
        <w:spacing w:lineRule="auto" w:line="331"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11, 2025</w:t>
      </w:r>
    </w:p>
    <w:p>
      <w:pPr>
        <w:pStyle w:val="TextBody"/>
        <w:bidi w:val="0"/>
        <w:spacing w:lineRule="auto" w:line="331" w:before="0" w:after="0"/>
        <w:jc w:val="left"/>
        <w:rPr>
          <w:color w:val="000000"/>
        </w:rPr>
      </w:pPr>
      <w:r>
        <w:rPr>
          <w:color w:val="000000"/>
        </w:rPr>
        <w:t> </w:t>
      </w:r>
    </w:p>
    <w:tbl>
      <w:tblPr>
        <w:tblW w:w="4574" w:type="dxa"/>
        <w:jc w:val="left"/>
        <w:tblInd w:w="0" w:type="dxa"/>
        <w:tblLayout w:type="fixed"/>
        <w:tblCellMar>
          <w:top w:w="28" w:type="dxa"/>
          <w:left w:w="28" w:type="dxa"/>
          <w:bottom w:w="28" w:type="dxa"/>
          <w:right w:w="28" w:type="dxa"/>
        </w:tblCellMar>
      </w:tblPr>
      <w:tblGrid>
        <w:gridCol w:w="1463"/>
        <w:gridCol w:w="1288"/>
        <w:gridCol w:w="1823"/>
      </w:tblGrid>
      <w:tr>
        <w:trPr/>
        <w:tc>
          <w:tcPr>
            <w:tcW w:w="14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WILLIAM L. BALLHAUS</w:t>
            </w:r>
            <w:r>
              <w:rPr>
                <w:color w:val="000000"/>
              </w:rPr>
              <w:t>        </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1" w:before="0" w:after="0"/>
              <w:jc w:val="center"/>
              <w:rPr>
                <w:rFonts w:ascii="Times New Roman;serif" w:hAnsi="Times New Roman;serif"/>
                <w:b/>
                <w:color w:val="000000"/>
                <w:sz w:val="15"/>
              </w:rPr>
            </w:pPr>
            <w:r>
              <w:rPr>
                <w:rFonts w:ascii="Times New Roman;serif" w:hAnsi="Times New Roman;serif"/>
                <w:b/>
                <w:color w:val="000000"/>
                <w:sz w:val="15"/>
              </w:rPr>
              <w:t>William L. Ballhaus</w:t>
            </w:r>
          </w:p>
          <w:p>
            <w:pPr>
              <w:pStyle w:val="TableContents"/>
              <w:bidi w:val="0"/>
              <w:spacing w:lineRule="auto" w:line="331" w:before="0" w:after="20"/>
              <w:jc w:val="center"/>
              <w:rPr>
                <w:rFonts w:ascii="Times New Roman;serif" w:hAnsi="Times New Roman;serif"/>
                <w:b/>
                <w:color w:val="000000"/>
                <w:sz w:val="15"/>
              </w:rPr>
            </w:pPr>
            <w:r>
              <w:rPr>
                <w:rFonts w:ascii="Times New Roman;serif" w:hAnsi="Times New Roman;serif"/>
                <w:b/>
                <w:color w:val="000000"/>
                <w:sz w:val="15"/>
              </w:rPr>
              <w:t>CHAIRMAN, PRESIDENT AND CHIEF EXECUTIVE OFFICER</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E. FARNSWORTH</w:t>
            </w:r>
            <w:r>
              <w:rPr>
                <w:color w:val="000000"/>
              </w:rPr>
              <w:t>      </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1" w:before="0" w:after="283"/>
              <w:jc w:val="center"/>
              <w:rPr>
                <w:rFonts w:ascii="Times New Roman;serif" w:hAnsi="Times New Roman;serif"/>
                <w:b/>
                <w:color w:val="000000"/>
                <w:sz w:val="15"/>
              </w:rPr>
            </w:pPr>
            <w:r>
              <w:rPr>
                <w:rFonts w:ascii="Times New Roman;serif" w:hAnsi="Times New Roman;serif"/>
                <w:b/>
                <w:color w:val="000000"/>
                <w:sz w:val="15"/>
              </w:rPr>
              <w:t>David E. Farnsworth</w:t>
              <w:br/>
              <w:t>EXECUTIVE VICE PRESIDENT, 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9521/000119312509187696/dex311.htm" TargetMode="External"/><Relationship Id="rId3" Type="http://schemas.openxmlformats.org/officeDocument/2006/relationships/hyperlink" Target="https://www.sec.gov/Archives/edgar/data/1049521/000119312509187696/dex311.htm" TargetMode="External"/><Relationship Id="rId4" Type="http://schemas.openxmlformats.org/officeDocument/2006/relationships/hyperlink" Target="https://www.sec.gov/Archives/edgar/data/1049521/000119312510192991/dex312.htm" TargetMode="External"/><Relationship Id="rId5" Type="http://schemas.openxmlformats.org/officeDocument/2006/relationships/hyperlink" Target="https://www.sec.gov/Archives/edgar/data/1049521/000119312510192991/dex312.htm" TargetMode="External"/><Relationship Id="rId6" Type="http://schemas.openxmlformats.org/officeDocument/2006/relationships/hyperlink" Target="https://www.sec.gov/Archives/edgar/data/1049521/000119312505243468/dex1.htm" TargetMode="External"/><Relationship Id="rId7" Type="http://schemas.openxmlformats.org/officeDocument/2006/relationships/hyperlink" Target="https://www.sec.gov/Archives/edgar/data/1049521/000119312505243468/dex1.htm" TargetMode="External"/><Relationship Id="rId8" Type="http://schemas.openxmlformats.org/officeDocument/2006/relationships/hyperlink" Target="https://www.sec.gov/Archives/edgar/data/1049521/000119312512465660/d433286dex31.htm" TargetMode="External"/><Relationship Id="rId9" Type="http://schemas.openxmlformats.org/officeDocument/2006/relationships/hyperlink" Target="https://www.sec.gov/Archives/edgar/data/1049521/000119312512465660/d433286dex31.htm" TargetMode="External"/><Relationship Id="rId10" Type="http://schemas.openxmlformats.org/officeDocument/2006/relationships/hyperlink" Target="https://www.sec.gov/Archives/edgar/data/1049521/000104952115000029/articlesofamendment.htm" TargetMode="External"/><Relationship Id="rId11" Type="http://schemas.openxmlformats.org/officeDocument/2006/relationships/hyperlink" Target="https://www.sec.gov/Archives/edgar/data/1049521/000104952115000029/articlesofamendment.htm" TargetMode="External"/><Relationship Id="rId12" Type="http://schemas.openxmlformats.org/officeDocument/2006/relationships/hyperlink" Target="https://www.sec.gov/Archives/edgar/data/0001049521/000104952121000066/a2021122921articlesofame.htm" TargetMode="External"/><Relationship Id="rId13" Type="http://schemas.openxmlformats.org/officeDocument/2006/relationships/hyperlink" Target="https://www.sec.gov/Archives/edgar/data/0001049521/000104952121000066/a2021122921articlesofame.htm" TargetMode="External"/><Relationship Id="rId14" Type="http://schemas.openxmlformats.org/officeDocument/2006/relationships/hyperlink" Target="https://www.sec.gov/Archives/edgar/data/1049521/000104952122000053/a8-k2022102822exhibit31.htm" TargetMode="External"/><Relationship Id="rId15" Type="http://schemas.openxmlformats.org/officeDocument/2006/relationships/hyperlink" Target="https://www.sec.gov/Archives/edgar/data/1049521/000104952122000053/a8-k2022102822exhibit31.htm" TargetMode="External"/><Relationship Id="rId16" Type="http://schemas.openxmlformats.org/officeDocument/2006/relationships/hyperlink" Target="https://www.sec.gov/Archives/edgar/data/1049521/0000950135-98-000049.txt" TargetMode="External"/><Relationship Id="rId17" Type="http://schemas.openxmlformats.org/officeDocument/2006/relationships/hyperlink" Target="https://www.sec.gov/Archives/edgar/data/1049521/0000950135-98-000049.txt" TargetMode="External"/><Relationship Id="rId18" Type="http://schemas.openxmlformats.org/officeDocument/2006/relationships/hyperlink" Target="https://www.sec.gov/Archives/edgar/data/1049521/000104952120000034/mrcy732020-exhibit42.htm" TargetMode="External"/><Relationship Id="rId19" Type="http://schemas.openxmlformats.org/officeDocument/2006/relationships/hyperlink" Target="https://www.sec.gov/Archives/edgar/data/1049521/000104952120000034/mrcy732020-exhibit42.htm" TargetMode="External"/><Relationship Id="rId20" Type="http://schemas.openxmlformats.org/officeDocument/2006/relationships/hyperlink" Target="https://www.sec.gov/Archives/edgar/data/1049521/000104952124000019/a2024employeestockpurchase.htm" TargetMode="External"/><Relationship Id="rId21" Type="http://schemas.openxmlformats.org/officeDocument/2006/relationships/hyperlink" Target="https://www.sec.gov/Archives/edgar/data/1049521/000104952124000019/a2024employeestockpurchase.htm" TargetMode="External"/><Relationship Id="rId22" Type="http://schemas.openxmlformats.org/officeDocument/2006/relationships/hyperlink" Target="https://www.sec.gov/Archives/edgar/data/1049521/000119312509187696/dex104.htm" TargetMode="External"/><Relationship Id="rId23" Type="http://schemas.openxmlformats.org/officeDocument/2006/relationships/hyperlink" Target="https://www.sec.gov/Archives/edgar/data/1049521/000119312509187696/dex104.htm" TargetMode="External"/><Relationship Id="rId24" Type="http://schemas.openxmlformats.org/officeDocument/2006/relationships/hyperlink" Target="https://www.sec.gov/Archives/edgar/data/1049521/000104952124000029/mrcy6302024-exhibit103.htm" TargetMode="External"/><Relationship Id="rId25" Type="http://schemas.openxmlformats.org/officeDocument/2006/relationships/hyperlink" Target="https://www.sec.gov/Archives/edgar/data/1049521/000104952124000029/mrcy6302024-exhibit103.htm" TargetMode="External"/><Relationship Id="rId26" Type="http://schemas.openxmlformats.org/officeDocument/2006/relationships/hyperlink" Target="https://www.sec.gov/Archives/edgar/data/0001049521/000104952119000015/exhibit101.htm" TargetMode="External"/><Relationship Id="rId27" Type="http://schemas.openxmlformats.org/officeDocument/2006/relationships/hyperlink" Target="https://www.sec.gov/Archives/edgar/data/0001049521/000104952119000015/exhibit101.htm" TargetMode="External"/><Relationship Id="rId28" Type="http://schemas.openxmlformats.org/officeDocument/2006/relationships/hyperlink" Target="https://www.sec.gov/Archives/edgar/data/0001049521/000104952119000015/exhibit102.htm" TargetMode="External"/><Relationship Id="rId29" Type="http://schemas.openxmlformats.org/officeDocument/2006/relationships/hyperlink" Target="https://www.sec.gov/Archives/edgar/data/1049521/000104952119000015/exhibit102.htm" TargetMode="External"/><Relationship Id="rId30" Type="http://schemas.openxmlformats.org/officeDocument/2006/relationships/hyperlink" Target="https://www.sec.gov/Archives/edgar/data/1049521/000104952119000015/exhibit103.htm" TargetMode="External"/><Relationship Id="rId31" Type="http://schemas.openxmlformats.org/officeDocument/2006/relationships/hyperlink" Target="https://www.sec.gov/Archives/edgar/data/1049521/000104952119000015/exhibit103.htm" TargetMode="External"/><Relationship Id="rId32" Type="http://schemas.openxmlformats.org/officeDocument/2006/relationships/hyperlink" Target="https://www.sec.gov/Archives/edgar/data/1049521/000119312507210082/dex101.htm" TargetMode="External"/><Relationship Id="rId33" Type="http://schemas.openxmlformats.org/officeDocument/2006/relationships/hyperlink" Target="https://www.sec.gov/Archives/edgar/data/1049521/000119312507210082/dex101.htm" TargetMode="External"/><Relationship Id="rId34" Type="http://schemas.openxmlformats.org/officeDocument/2006/relationships/hyperlink" Target="https://www.sec.gov/Archives/edgar/data/0001049521/000104952119000015/exhibit105.htm" TargetMode="External"/><Relationship Id="rId35" Type="http://schemas.openxmlformats.org/officeDocument/2006/relationships/hyperlink" Target="https://www.sec.gov/Archives/edgar/data/0001049521/000104952119000015/exhibit105.htm" TargetMode="External"/><Relationship Id="rId36" Type="http://schemas.openxmlformats.org/officeDocument/2006/relationships/hyperlink" Target="https://www.sec.gov/Archives/edgar/data/1049521/000119312511226448/dex1092.htm" TargetMode="External"/><Relationship Id="rId37" Type="http://schemas.openxmlformats.org/officeDocument/2006/relationships/hyperlink" Target="https://www.sec.gov/Archives/edgar/data/1049521/000119312511226448/dex1092.htm" TargetMode="External"/><Relationship Id="rId38" Type="http://schemas.openxmlformats.org/officeDocument/2006/relationships/hyperlink" Target="https://www.sec.gov/Archives/edgar/data/1049521/000104952124000029/mrcy6302024-exhibit106.htm" TargetMode="External"/><Relationship Id="rId39" Type="http://schemas.openxmlformats.org/officeDocument/2006/relationships/hyperlink" Target="https://www.sec.gov/Archives/edgar/data/1049521/000104952124000029/mrcy6302024-exhibit106.htm" TargetMode="External"/><Relationship Id="rId40" Type="http://schemas.openxmlformats.org/officeDocument/2006/relationships/hyperlink" Target="https://www.sec.gov/Archives/edgar/data/1049521/000104952116000076/creditagreement.htm" TargetMode="External"/><Relationship Id="rId41" Type="http://schemas.openxmlformats.org/officeDocument/2006/relationships/hyperlink" Target="https://www.sec.gov/Archives/edgar/data/1049521/000104952116000076/creditagreement.htm" TargetMode="External"/><Relationship Id="rId42" Type="http://schemas.openxmlformats.org/officeDocument/2006/relationships/hyperlink" Target="https://www.sec.gov/Archives/edgar/data/1049521/000104952117000037/secedgaramendmentno1tocr.htm" TargetMode="External"/><Relationship Id="rId43" Type="http://schemas.openxmlformats.org/officeDocument/2006/relationships/hyperlink" Target="https://www.sec.gov/Archives/edgar/data/1049521/000104952117000037/secedgaramendmentno1tocr.htm" TargetMode="External"/><Relationship Id="rId44" Type="http://schemas.openxmlformats.org/officeDocument/2006/relationships/hyperlink" Target="https://www.sec.gov/Archives/edgar/data/1049521/000104952118000034/amendmentno3withconformedc.htm" TargetMode="External"/><Relationship Id="rId45" Type="http://schemas.openxmlformats.org/officeDocument/2006/relationships/hyperlink" Target="https://www.sec.gov/Archives/edgar/data/1049521/000104952118000034/amendmentno3withconformedc.htm" TargetMode="External"/><Relationship Id="rId46" Type="http://schemas.openxmlformats.org/officeDocument/2006/relationships/hyperlink" Target="https://www.sec.gov/Archives/edgar/data/0001049521/000104952122000013/bofa_mercury-amendmentno4c.htm" TargetMode="External"/><Relationship Id="rId47" Type="http://schemas.openxmlformats.org/officeDocument/2006/relationships/hyperlink" Target="https://www.sec.gov/Archives/edgar/data/0001049521/000104952122000013/bofa_mercury-amendmentno4c.htm" TargetMode="External"/><Relationship Id="rId48" Type="http://schemas.openxmlformats.org/officeDocument/2006/relationships/hyperlink" Target="https://www.sec.gov/Archives/edgar/data/1049521/000104952123000045/mercury-amendmentno5exec.htm" TargetMode="External"/><Relationship Id="rId49" Type="http://schemas.openxmlformats.org/officeDocument/2006/relationships/hyperlink" Target="https://www.sec.gov/Archives/edgar/data/1049521/000104952123000045/mercury-amendmentno5exec.htm" TargetMode="External"/><Relationship Id="rId50" Type="http://schemas.openxmlformats.org/officeDocument/2006/relationships/hyperlink" Target="https://www.sec.gov/Archives/edgar/data/1049521/000104952124000027/a2024q4exhibit101.htm" TargetMode="External"/><Relationship Id="rId51" Type="http://schemas.openxmlformats.org/officeDocument/2006/relationships/hyperlink" Target="https://www.sec.gov/Archives/edgar/data/1049521/000104952124000027/a2024q4exhibit101.htm" TargetMode="External"/><Relationship Id="rId52" Type="http://schemas.openxmlformats.org/officeDocument/2006/relationships/hyperlink" Target="https://www.sec.gov/Archives/edgar/data/1049521/000104952119000033/mrcy6302019-exhibit1014.htm" TargetMode="External"/><Relationship Id="rId53" Type="http://schemas.openxmlformats.org/officeDocument/2006/relationships/hyperlink" Target="https://www.sec.gov/Archives/edgar/data/1049521/000104952119000033/mrcy6302019-exhibit1014.htm" TargetMode="External"/><Relationship Id="rId54" Type="http://schemas.openxmlformats.org/officeDocument/2006/relationships/hyperlink" Target="https://www.sec.gov/Archives/edgar/data/1049521/000104952123000029/exhibit10.htm" TargetMode="External"/><Relationship Id="rId55" Type="http://schemas.openxmlformats.org/officeDocument/2006/relationships/hyperlink" Target="https://www.sec.gov/Archives/edgar/data/1049521/000104952123000029/exhibit10.htm" TargetMode="External"/><Relationship Id="rId56" Type="http://schemas.openxmlformats.org/officeDocument/2006/relationships/hyperlink" Target="https://www.sec.gov/Archives/edgar/data/1049521/000104952123000018/davefarnsworthofferlette.htm" TargetMode="External"/><Relationship Id="rId57" Type="http://schemas.openxmlformats.org/officeDocument/2006/relationships/hyperlink" Target="https://www.sec.gov/Archives/edgar/data/1049521/000104952123000018/davefarnsworthofferlette.htm" TargetMode="External"/><Relationship Id="rId58" Type="http://schemas.openxmlformats.org/officeDocument/2006/relationships/hyperlink" Target="https://www.sec.gov/Archives/edgar/data/1049521/000104952123000052/mercurysystemsnqdcmodelbas.htm" TargetMode="External"/><Relationship Id="rId59" Type="http://schemas.openxmlformats.org/officeDocument/2006/relationships/hyperlink" Target="https://www.sec.gov/Archives/edgar/data/1049521/000104952123000052/mercurysystemsnqdcmodelbas.htm" TargetMode="External"/><Relationship Id="rId60" Type="http://schemas.openxmlformats.org/officeDocument/2006/relationships/hyperlink" Target="https://www.sec.gov/Archives/edgar/data/1049521/000104952123000052/mercurysystemsnqdcmodelbas.htm" TargetMode="External"/><Relationship Id="rId61" Type="http://schemas.openxmlformats.org/officeDocument/2006/relationships/hyperlink" Target="https://www.sec.gov/Archives/edgar/data/1049521/000104952123000052/mercurysystemsnqdcmodelbas.htm" TargetMode="External"/><Relationship Id="rId62" Type="http://schemas.openxmlformats.org/officeDocument/2006/relationships/hyperlink" Target="https://www.sec.gov/Archives/edgar/data/1049521/000104952123000052/mercurysystemsnqdcmodelado.htm" TargetMode="External"/><Relationship Id="rId63" Type="http://schemas.openxmlformats.org/officeDocument/2006/relationships/hyperlink" Target="https://www.sec.gov/Archives/edgar/data/1049521/000104952123000052/mercurysystemsnqdcmodelado.htm" TargetMode="External"/><Relationship Id="rId64" Type="http://schemas.openxmlformats.org/officeDocument/2006/relationships/hyperlink" Target="https://www.sec.gov/Archives/edgar/data/1049521/000104952123000052/mercurysystemsnqdcmodelado.htm" TargetMode="External"/><Relationship Id="rId65" Type="http://schemas.openxmlformats.org/officeDocument/2006/relationships/hyperlink" Target="https://www.sec.gov/Archives/edgar/data/1049521/000104952123000052/mercurysystemsnqdcmodelado.htm" TargetMode="External"/><Relationship Id="rId66" Type="http://schemas.openxmlformats.org/officeDocument/2006/relationships/hyperlink" Target="https://www.sec.gov/Archives/edgar/data/1049521/000104952124000029/mrcy6302024-exhibit191.htm" TargetMode="External"/><Relationship Id="rId67" Type="http://schemas.openxmlformats.org/officeDocument/2006/relationships/hyperlink" Target="https://www.sec.gov/Archives/edgar/data/1049521/000104952124000029/mrcy6302024-exhibit191.htm" TargetMode="External"/><Relationship Id="rId68" Type="http://schemas.openxmlformats.org/officeDocument/2006/relationships/hyperlink" Target="https://www.sec.gov/Archives/edgar/data/1049521/000104952124000029/mrcy6302024-exhibit971.htm" TargetMode="External"/><Relationship Id="rId69" Type="http://schemas.openxmlformats.org/officeDocument/2006/relationships/hyperlink" Target="https://www.sec.gov/Archives/edgar/data/1049521/000104952124000029/mrcy6302024-exhibit971.htm" TargetMode="External"/><Relationship Id="rId70" Type="http://schemas.openxmlformats.org/officeDocument/2006/relationships/image" Target="media/image1.jpeg"/><Relationship Id="rId71" Type="http://schemas.openxmlformats.org/officeDocument/2006/relationships/image" Target="media/image2.jpeg"/><Relationship Id="rId72" Type="http://schemas.openxmlformats.org/officeDocument/2006/relationships/image" Target="media/image3.jpeg"/><Relationship Id="rId73" Type="http://schemas.openxmlformats.org/officeDocument/2006/relationships/image" Target="media/image4.jpeg"/><Relationship Id="rId74" Type="http://schemas.openxmlformats.org/officeDocument/2006/relationships/image" Target="media/image5.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56360</Words>
  <Characters>319830</Characters>
  <CharactersWithSpaces>374197</CharactersWithSpaces>
  <Paragraphs>3758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a2025_mercurysystemscons</dc:title>
</cp:coreProperties>
</file>