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.xml.htm"/>
      <w:bookmarkStart w:id="1" w:name="ksform4a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Ballhaus William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MINUTEMAN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MERCURY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17"/>
        <w:gridCol w:w="903"/>
        <w:gridCol w:w="774"/>
        <w:gridCol w:w="600"/>
        <w:gridCol w:w="340"/>
        <w:gridCol w:w="954"/>
        <w:gridCol w:w="429"/>
        <w:gridCol w:w="592"/>
        <w:gridCol w:w="1432"/>
        <w:gridCol w:w="967"/>
        <w:gridCol w:w="109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23,629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324,782.325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1,403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 Plan</w:t>
            </w:r>
          </w:p>
        </w:tc>
      </w:tr>
      <w:tr>
        <w:trPr/>
        <w:tc>
          <w:tcPr>
            <w:tcW w:w="21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7,066.173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Milestone Road Holdings,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vest in equal annual increments over the three-year period following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amendment is being filed to correct the inadvertent omission of the grant of restricted stock units to the reporting person on August 17,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Munro,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6044" TargetMode="External"/><Relationship Id="rId5" Type="http://schemas.openxmlformats.org/officeDocument/2006/relationships/hyperlink" Target="http://www.sec.gov/cgi-bin/browse-edgar?action=getcompany&amp;CIK=0001049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3396</Characters>
  <CharactersWithSpaces>3943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