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Ballhaus William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898"/>
        <w:gridCol w:w="772"/>
        <w:gridCol w:w="596"/>
        <w:gridCol w:w="330"/>
        <w:gridCol w:w="1028"/>
        <w:gridCol w:w="404"/>
        <w:gridCol w:w="873"/>
        <w:gridCol w:w="1408"/>
        <w:gridCol w:w="934"/>
        <w:gridCol w:w="10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453,512.325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107,628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345,884.325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87.993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342,436.325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410,912.325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88.913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372,636.325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89.744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361,822.325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7,066.173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Milestone Road Holdings, LLC</w:t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153,676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153,676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exercise of a stock option award scheduled to expire on August 17,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shares intended solely to cover the exercise price, applicable withholding taxes and related transaction costs of stock options exercised on the same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$86.800 to $87.800.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$87.820 to $88.325.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$88.500 to $89.435.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$89.560 to $89.960.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6044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951</Words>
  <Characters>5153</Characters>
  <CharactersWithSpaces>5960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