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0-23599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MERCURY SYSTEMS,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50 MINUTEMAN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ANDOVER,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01810</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4"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1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vMerge w:val="restart"/>
          </w:tcPr>
          <w:p>
            <w:pPr>
              <w:ind w:left="460"/>
              <w:spacing w:after="0"/>
              <w:rPr>
                <w:sz w:val="20"/>
                <w:szCs w:val="20"/>
                <w:color w:val="auto"/>
              </w:rPr>
            </w:pPr>
            <w:r>
              <w:rPr>
                <w:rFonts w:ascii="Arial" w:cs="Arial" w:eastAsia="Arial" w:hAnsi="Arial"/>
                <w:sz w:val="18"/>
                <w:szCs w:val="18"/>
                <w:color w:val="auto"/>
              </w:rPr>
              <w:t>x</w:t>
            </w:r>
          </w:p>
        </w:tc>
        <w:tc>
          <w:tcPr>
            <w:tcW w:w="4940" w:type="dxa"/>
            <w:vAlign w:val="bottom"/>
            <w:vMerge w:val="restart"/>
          </w:tcPr>
          <w:p>
            <w:pPr>
              <w:ind w:left="24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49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440" w:right="14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Shares of Common Stock outstanding as of January 31, 2018: 48,242,590 shares</w:t>
      </w:r>
    </w:p>
    <w:p>
      <w:pPr>
        <w:sectPr>
          <w:pgSz w:w="11900" w:h="16838" w:orient="portrait"/>
          <w:cols w:equalWidth="0" w:num="1">
            <w:col w:w="11380"/>
          </w:cols>
          <w:pgMar w:left="240" w:top="215"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1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December 31, 2017 and June 30, 2017</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4"/>
                <w:szCs w:val="24"/>
                <w:color w:val="auto"/>
              </w:rPr>
            </w:pPr>
          </w:p>
        </w:tc>
        <w:tc>
          <w:tcPr>
            <w:tcW w:w="8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for the three and six months ended December 31,</w:t>
              </w:r>
            </w:hyperlink>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5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and 2016</w:t>
              </w:r>
            </w:hyperlink>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4"/>
                <w:szCs w:val="24"/>
                <w:color w:val="auto"/>
              </w:rPr>
            </w:pPr>
          </w:p>
        </w:tc>
        <w:tc>
          <w:tcPr>
            <w:tcW w:w="68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six months ended December 31, 2017 and 2016</w:t>
              </w:r>
            </w:hyperlink>
          </w:p>
        </w:tc>
        <w:tc>
          <w:tcPr>
            <w:tcW w:w="166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2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20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7920" w:type="dxa"/>
            <w:vAlign w:val="bottom"/>
            <w:gridSpan w:val="1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574"/>
        </w:trPr>
        <w:tc>
          <w:tcPr>
            <w:tcW w:w="18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77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r>
      <w:tr>
        <w:trPr>
          <w:trHeight w:val="669"/>
        </w:trPr>
        <w:tc>
          <w:tcPr>
            <w:tcW w:w="1840" w:type="dxa"/>
            <w:vAlign w:val="bottom"/>
          </w:tcPr>
          <w:p>
            <w:pPr>
              <w:spacing w:after="0"/>
              <w:rPr>
                <w:sz w:val="24"/>
                <w:szCs w:val="24"/>
                <w:color w:val="auto"/>
              </w:rPr>
            </w:pPr>
          </w:p>
        </w:tc>
        <w:tc>
          <w:tcPr>
            <w:tcW w:w="4300" w:type="dxa"/>
            <w:vAlign w:val="bottom"/>
            <w:gridSpan w:val="9"/>
          </w:tcPr>
          <w:p>
            <w:pPr>
              <w:ind w:left="378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06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6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2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32,035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41,637</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Accounts receivable, net of allowance for doubtful accounts of $52 and $83 at December 31, 2017 and June 30, 2017,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87,315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76,341</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37,332</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105,912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81,071</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Prepaid income taxes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7,970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8,381</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assets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268,902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246,196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51,640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51,643</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2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Goodwill</w:t>
            </w:r>
          </w:p>
        </w:tc>
        <w:tc>
          <w:tcPr>
            <w:tcW w:w="180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384,785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380,846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120,672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129,037</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non-current assets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835,816</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815,745</w:t>
            </w:r>
          </w:p>
        </w:tc>
        <w:tc>
          <w:tcPr>
            <w:tcW w:w="0" w:type="dxa"/>
            <w:vAlign w:val="bottom"/>
          </w:tcPr>
          <w:p>
            <w:pPr>
              <w:spacing w:after="0"/>
              <w:rPr>
                <w:sz w:val="1"/>
                <w:szCs w:val="1"/>
                <w:color w:val="auto"/>
              </w:rPr>
            </w:pPr>
          </w:p>
        </w:tc>
      </w:tr>
      <w:tr>
        <w:trPr>
          <w:trHeight w:val="100"/>
        </w:trPr>
        <w:tc>
          <w:tcPr>
            <w:tcW w:w="720" w:type="dxa"/>
            <w:vAlign w:val="bottom"/>
            <w:tcBorders>
              <w:bottom w:val="single" w:sz="8" w:color="CCEEFF"/>
            </w:tcBorders>
          </w:tcPr>
          <w:p>
            <w:pPr>
              <w:spacing w:after="0"/>
              <w:rPr>
                <w:sz w:val="8"/>
                <w:szCs w:val="8"/>
                <w:color w:val="auto"/>
              </w:rPr>
            </w:pPr>
          </w:p>
        </w:tc>
        <w:tc>
          <w:tcPr>
            <w:tcW w:w="1800" w:type="dxa"/>
            <w:vAlign w:val="bottom"/>
            <w:tcBorders>
              <w:bottom w:val="single" w:sz="8" w:color="CCEEFF"/>
            </w:tcBorders>
          </w:tcPr>
          <w:p>
            <w:pPr>
              <w:spacing w:after="0"/>
              <w:rPr>
                <w:sz w:val="8"/>
                <w:szCs w:val="8"/>
                <w:color w:val="auto"/>
              </w:rPr>
            </w:pPr>
          </w:p>
        </w:tc>
        <w:tc>
          <w:tcPr>
            <w:tcW w:w="60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4"/>
                <w:szCs w:val="14"/>
                <w:b w:val="1"/>
                <w:bCs w:val="1"/>
                <w:color w:val="auto"/>
                <w:shd w:val="clear" w:color="auto" w:fill="CCEEFF"/>
              </w:rPr>
              <w:t>Liabilities and Shareholders’ Equity</w:t>
            </w:r>
          </w:p>
        </w:tc>
        <w:tc>
          <w:tcPr>
            <w:tcW w:w="6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Accounts payable</w:t>
            </w:r>
          </w:p>
        </w:tc>
        <w:tc>
          <w:tcPr>
            <w:tcW w:w="60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37,628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27,485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20,594</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Accrued compensation</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8,440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liabilities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74,276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72,845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Income taxes payable</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11,454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11,772</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liabilities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86,585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90,328</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 (Note M)</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Shareholders’ equity:</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w w:val="93"/>
                <w:shd w:val="clear" w:color="auto" w:fill="CCEEFF"/>
              </w:rPr>
              <w:t>Common stock, $0.01 par value; 85,000,000 shares authorized; 46,833,499 and 46,303,075 shares issued and outstanding at December 31,</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w w:val="91"/>
                <w:shd w:val="clear" w:color="auto" w:fill="CCEEFF"/>
              </w:rPr>
              <w:t>2017 and June 30, 2017, respectively</w:t>
            </w:r>
          </w:p>
        </w:tc>
        <w:tc>
          <w:tcPr>
            <w:tcW w:w="6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581,534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584,795</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Retained earnings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166,171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139,085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shareholders’ equity</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749,231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725,417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835,816</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815,745</w:t>
            </w: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6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117,912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98,014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223,981</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185,663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98,830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720"/>
              <w:spacing w:after="0"/>
              <w:rPr>
                <w:sz w:val="20"/>
                <w:szCs w:val="20"/>
                <w:color w:val="auto"/>
              </w:rPr>
            </w:pPr>
            <w:r>
              <w:rPr>
                <w:rFonts w:ascii="Arial" w:cs="Arial" w:eastAsia="Arial" w:hAnsi="Arial"/>
                <w:sz w:val="18"/>
                <w:szCs w:val="18"/>
                <w:color w:val="auto"/>
              </w:rPr>
              <w:t>Gross margin</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104,834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41,790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21,259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20,040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27,086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net 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47,447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39,985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47,538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 plan,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(52,628)</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Payments under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Borrowings under credit facilities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81,691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46,185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Supplemental disclosures—non-cash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investing activity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Mercury Systems, Inc. (the “Company” or “Mercury”) is a leading commercial provider of secure sensor and safety critical mission processing subsystems. Optimized for customer and mission success, its solutions power a wide variety of critical defense and intelligence programs. Headquartered in Andover, Massachusetts, it is pioneering a next-generation defense electronics business model specifically designed to meet the industry's current and emerging technology and business needs. The Company delivers affordable innovative solutions, rapid time-to-value and service and support primarily to defense prime contractor customers. The Company's products and solutions have been deployed in more than 300 programs with over 25 different defense prime contractors. Key programs include Aegis, Patriot, Surface Electronic Warfare Improvement Program ("SEWIP"), Gorgon Stare, Predator, F-16 SABR, F-35, E2D Hawkeye, Reaper and Paveway. The Company's organizational structure allows it to deliver capabilities that combine technology building blocks and deep domain expertise in the aerospace and defense sector.</w:t>
      </w:r>
    </w:p>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Generally Accepted Accounting Principles ("GAAP") in the United States of America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2017 which are contained in the Company’s Annual Report on Form 10-K filed with the Securities and Exchange Commission (“SEC”) on August 18, 2017. The results for the three and six months ended December 31, 2017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OREIGN</w:t>
      </w:r>
      <w:r>
        <w:rPr>
          <w:rFonts w:ascii="Arial" w:cs="Arial" w:eastAsia="Arial" w:hAnsi="Arial"/>
          <w:sz w:val="18"/>
          <w:szCs w:val="18"/>
          <w:color w:val="auto"/>
        </w:rPr>
        <w:t xml:space="preserve"> C</w:t>
      </w:r>
      <w:r>
        <w:rPr>
          <w:rFonts w:ascii="Arial" w:cs="Arial" w:eastAsia="Arial" w:hAnsi="Arial"/>
          <w:sz w:val="14"/>
          <w:szCs w:val="14"/>
          <w:color w:val="auto"/>
        </w:rPr>
        <w:t>URRENCY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Local currencies are the functional currency for the Company’s subsidiaries in Switzerland, United Kingdom, Japan and Canada.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non-U.S. currency transactions are included in other income (expense), net in the Consolidated Statements of Operations and Comprehensive Income and were immaterial for all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CCOUNTS</w:t>
      </w:r>
      <w:r>
        <w:rPr>
          <w:rFonts w:ascii="Arial" w:cs="Arial" w:eastAsia="Arial" w:hAnsi="Arial"/>
          <w:sz w:val="18"/>
          <w:szCs w:val="18"/>
          <w:color w:val="auto"/>
        </w:rPr>
        <w:t xml:space="preserve"> R</w:t>
      </w:r>
      <w:r>
        <w:rPr>
          <w:rFonts w:ascii="Arial" w:cs="Arial" w:eastAsia="Arial" w:hAnsi="Arial"/>
          <w:sz w:val="14"/>
          <w:szCs w:val="14"/>
          <w:color w:val="auto"/>
        </w:rPr>
        <w:t>ECEIVABLE</w:t>
      </w:r>
      <w:r>
        <w:rPr>
          <w:rFonts w:ascii="Arial" w:cs="Arial" w:eastAsia="Arial" w:hAnsi="Arial"/>
          <w:sz w:val="18"/>
          <w:szCs w:val="18"/>
          <w:color w:val="auto"/>
        </w:rPr>
        <w:t xml:space="preserve"> F</w:t>
      </w:r>
      <w:r>
        <w:rPr>
          <w:rFonts w:ascii="Arial" w:cs="Arial" w:eastAsia="Arial" w:hAnsi="Arial"/>
          <w:sz w:val="14"/>
          <w:szCs w:val="14"/>
          <w:color w:val="auto"/>
        </w:rPr>
        <w:t>ACTORING</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December 21, 2017, the Company executed a Master Receivables Purchase Agreement (the “Purchase Agreement”) with Bank of America, N.A. (the “Bank”) for the sale of certain eligible accounts receivable balances of the Company, up to a maximum of $30,000. Factoring under the Purchase Agreement is treated as a true sale of accounts receivable by the Company. The Company has a continued involvement in servicing accounts receivable under the Purchase Agreement, but has no significant retained interests related to the factored accounts receivable.</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Proceeds from amounts factored by the Company are recorded as an increase to cash and a reduction to accounts receivable outstanding in the consolidated balance sheets. Cash flows attributable to factoring are reflected as cash flows from operating activities in the Company’s consolidated statements of cash flows. Factoring fees are included as selling, general, and administrative expenses in the Company’s consolidated statements of operations and comprehensive income.</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factored accounts receivable and incurred factoring fees of $18,821 and $69, respectively, for the three and six months ended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37% and 38% of total revenue in the three and six months ended December 31, 2017, respectively. Total revenue recognized under multiple-deliverable revenue arrangements was 23% and 29% of total revenues in the three and six months ended December 31, 2016,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considers a deliverable to have standalone value if the item is sold separately by the Company or another vendor or if the item could be resold by the customer.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December 31,</w:t>
            </w:r>
          </w:p>
        </w:tc>
        <w:tc>
          <w:tcPr>
            <w:tcW w:w="280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Six Months Ended December 31,</w:t>
            </w: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46,752</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39,151</w:t>
            </w:r>
          </w:p>
        </w:tc>
        <w:tc>
          <w:tcPr>
            <w:tcW w:w="14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46,701</w:t>
            </w:r>
          </w:p>
        </w:tc>
        <w:tc>
          <w:tcPr>
            <w:tcW w:w="1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39,004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equity instruments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3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47,447</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39,985</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39,920</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Equity instruments to purchase 23 and 162 shares of common stock were not included in the calculation of diluted net earnings per share for the three and six months ended December 31, 2017, respectively, because the equity instruments were anti-dilutive. Equity instruments to purchase 9 and 6 shares of common stock were not included in the calculation of diluted net earnings per share for the three and six months ended December 31, 2016, respectively, because the equity instruments were anti-dilutive.</w:t>
      </w:r>
    </w:p>
    <w:p>
      <w:pPr>
        <w:spacing w:after="0" w:line="156"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ICHLAND 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July 3, 2017, the Company entered into a membership interest purchase agreement with Richland Technologies, L.L.C. ("RTL"), pursuant to which, the Company acquired RTL on a cash-free, debt-free basis for a total purchase price of $5,798. RTL specializes in safety-critical and high integrity systems, software and hardware development as well as safety-certification services for mission-critical applications. The acquisition had an immaterial impact to the Company’s results of operations (contributed less than one percent of net revenue for the three and six months ended December 31, 2017), and accordingly the disclosures required per FASB ASC 805 have been excluded from the Form 10-Q filing. The Company recognized primarily intangible assets including customer relationships, developed technology and goodwill based on its preliminary purchase price allocation.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ELTA</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 2017, the Company entered into a membership interest purchase agreement with Delta Microwave, LLC ("Delta"), pursuant to which the Company acquired Delta on a cash-free, debt-free basis for a total purchase price of $40,500, subject to net working capital and net debt adjustments. Delta is a designer and manufacturer of high-value RF, microwave and millimeter wave sub-assemblies and components for the military, aerospace and space markets. The acquisition and transaction related expenses were funded with cash on hand.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Delta:</w:t>
      </w: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Amounts</w:t>
            </w:r>
          </w:p>
        </w:tc>
      </w:tr>
      <w:tr>
        <w:trPr>
          <w:trHeight w:val="223"/>
        </w:trPr>
        <w:tc>
          <w:tcPr>
            <w:tcW w:w="1880" w:type="dxa"/>
            <w:vAlign w:val="bottom"/>
            <w:tcBorders>
              <w:top w:val="single" w:sz="8" w:color="CCEEFF"/>
              <w:left w:val="single" w:sz="8" w:color="CCEEFF"/>
              <w:bottom w:val="single" w:sz="8" w:color="CCEEFF"/>
            </w:tcBorders>
            <w:gridSpan w:val="4"/>
            <w:shd w:val="clear" w:color="auto" w:fill="BFE4FF"/>
          </w:tcPr>
          <w:p>
            <w:pPr>
              <w:ind w:left="40"/>
              <w:spacing w:after="0" w:line="202" w:lineRule="exact"/>
              <w:rPr>
                <w:sz w:val="20"/>
                <w:szCs w:val="20"/>
                <w:color w:val="auto"/>
              </w:rPr>
            </w:pPr>
            <w:r>
              <w:rPr>
                <w:rFonts w:ascii="Arial" w:cs="Arial" w:eastAsia="Arial" w:hAnsi="Arial"/>
                <w:sz w:val="18"/>
                <w:szCs w:val="18"/>
                <w:color w:val="auto"/>
                <w:w w:val="89"/>
                <w:shd w:val="clear" w:color="auto" w:fill="BFE4FF"/>
              </w:rPr>
              <w:t>Consideration transferred</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9000" w:type="dxa"/>
            <w:vAlign w:val="bottom"/>
            <w:gridSpan w:val="7"/>
          </w:tcPr>
          <w:p>
            <w:pPr>
              <w:spacing w:after="0"/>
              <w:rPr>
                <w:sz w:val="20"/>
                <w:szCs w:val="20"/>
                <w:color w:val="auto"/>
              </w:rPr>
            </w:pPr>
            <w:r>
              <w:rPr>
                <w:rFonts w:ascii="Arial" w:cs="Arial" w:eastAsia="Arial" w:hAnsi="Arial"/>
                <w:sz w:val="18"/>
                <w:szCs w:val="18"/>
                <w:color w:val="auto"/>
              </w:rPr>
              <w:t>Cash paid at closing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40,500</w:t>
            </w:r>
          </w:p>
        </w:tc>
      </w:tr>
      <w:tr>
        <w:trPr>
          <w:trHeight w:val="66"/>
        </w:trPr>
        <w:tc>
          <w:tcPr>
            <w:tcW w:w="36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42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5"/>
        </w:trPr>
        <w:tc>
          <w:tcPr>
            <w:tcW w:w="1440" w:type="dxa"/>
            <w:vAlign w:val="bottom"/>
            <w:tcBorders>
              <w:top w:val="single" w:sz="8" w:color="CCEEFF"/>
              <w:left w:val="single" w:sz="8" w:color="CCEEFF"/>
              <w:bottom w:val="single" w:sz="8" w:color="CCEEFF"/>
              <w:right w:val="single" w:sz="8" w:color="CCEEFF"/>
            </w:tcBorders>
            <w:gridSpan w:val="3"/>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Net purchase price</w:t>
            </w:r>
          </w:p>
        </w:tc>
        <w:tc>
          <w:tcPr>
            <w:tcW w:w="15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40,500</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3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42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23"/>
        </w:trPr>
        <w:tc>
          <w:tcPr>
            <w:tcW w:w="5120" w:type="dxa"/>
            <w:vAlign w:val="bottom"/>
            <w:tcBorders>
              <w:left w:val="single" w:sz="8" w:color="CCEEFF"/>
              <w:bottom w:val="single" w:sz="8" w:color="CCEEFF"/>
            </w:tcBorders>
            <w:gridSpan w:val="7"/>
            <w:shd w:val="clear" w:color="auto" w:fill="BFE4FF"/>
          </w:tcPr>
          <w:p>
            <w:pPr>
              <w:ind w:left="40"/>
              <w:spacing w:after="0" w:line="202" w:lineRule="exact"/>
              <w:rPr>
                <w:sz w:val="20"/>
                <w:szCs w:val="20"/>
                <w:color w:val="auto"/>
              </w:rPr>
            </w:pPr>
            <w:r>
              <w:rPr>
                <w:rFonts w:ascii="Arial" w:cs="Arial" w:eastAsia="Arial" w:hAnsi="Arial"/>
                <w:sz w:val="18"/>
                <w:szCs w:val="18"/>
                <w:color w:val="auto"/>
                <w:w w:val="89"/>
                <w:shd w:val="clear" w:color="auto" w:fill="BFE4FF"/>
              </w:rPr>
              <w:t>Estimated fair value of tangible assets acquired and liabilities assumed</w:t>
            </w:r>
          </w:p>
        </w:tc>
        <w:tc>
          <w:tcPr>
            <w:tcW w:w="4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9000" w:type="dxa"/>
            <w:vAlign w:val="bottom"/>
            <w:gridSpan w:val="7"/>
          </w:tcPr>
          <w:p>
            <w:pPr>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957</w:t>
            </w:r>
          </w:p>
        </w:tc>
      </w:tr>
      <w:tr>
        <w:trPr>
          <w:trHeight w:val="34"/>
        </w:trPr>
        <w:tc>
          <w:tcPr>
            <w:tcW w:w="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23"/>
        </w:trPr>
        <w:tc>
          <w:tcPr>
            <w:tcW w:w="360" w:type="dxa"/>
            <w:vAlign w:val="bottom"/>
            <w:tcBorders>
              <w:left w:val="single" w:sz="8" w:color="CCEEFF"/>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BFE4FF"/>
          </w:tcPr>
          <w:p>
            <w:pPr>
              <w:spacing w:after="0" w:line="202" w:lineRule="exact"/>
              <w:rPr>
                <w:sz w:val="20"/>
                <w:szCs w:val="20"/>
                <w:color w:val="auto"/>
              </w:rPr>
            </w:pPr>
            <w:r>
              <w:rPr>
                <w:rFonts w:ascii="Arial" w:cs="Arial" w:eastAsia="Arial" w:hAnsi="Arial"/>
                <w:sz w:val="18"/>
                <w:szCs w:val="18"/>
                <w:color w:val="auto"/>
                <w:w w:val="91"/>
                <w:shd w:val="clear" w:color="auto" w:fill="BFE4FF"/>
              </w:rPr>
              <w:t>Inventory</w:t>
            </w:r>
          </w:p>
        </w:tc>
        <w:tc>
          <w:tcPr>
            <w:tcW w:w="380" w:type="dxa"/>
            <w:vAlign w:val="bottom"/>
            <w:tcBorders>
              <w:bottom w:val="single" w:sz="8" w:color="CCEEFF"/>
              <w:right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4,452</w:t>
            </w:r>
          </w:p>
        </w:tc>
      </w:tr>
      <w:tr>
        <w:trPr>
          <w:trHeight w:val="243"/>
        </w:trPr>
        <w:tc>
          <w:tcPr>
            <w:tcW w:w="360" w:type="dxa"/>
            <w:vAlign w:val="bottom"/>
          </w:tcPr>
          <w:p>
            <w:pPr>
              <w:spacing w:after="0"/>
              <w:rPr>
                <w:sz w:val="21"/>
                <w:szCs w:val="21"/>
                <w:color w:val="auto"/>
              </w:rPr>
            </w:pPr>
          </w:p>
        </w:tc>
        <w:tc>
          <w:tcPr>
            <w:tcW w:w="9000" w:type="dxa"/>
            <w:vAlign w:val="bottom"/>
            <w:gridSpan w:val="7"/>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1,918</w:t>
            </w:r>
          </w:p>
        </w:tc>
      </w:tr>
      <w:tr>
        <w:trPr>
          <w:trHeight w:val="34"/>
        </w:trPr>
        <w:tc>
          <w:tcPr>
            <w:tcW w:w="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23"/>
        </w:trPr>
        <w:tc>
          <w:tcPr>
            <w:tcW w:w="360" w:type="dxa"/>
            <w:vAlign w:val="bottom"/>
            <w:tcBorders>
              <w:left w:val="single" w:sz="8" w:color="CCEEFF"/>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4"/>
            <w:shd w:val="clear" w:color="auto" w:fill="BFE4FF"/>
          </w:tcPr>
          <w:p>
            <w:pPr>
              <w:spacing w:after="0" w:line="202" w:lineRule="exact"/>
              <w:rPr>
                <w:sz w:val="20"/>
                <w:szCs w:val="20"/>
                <w:color w:val="auto"/>
              </w:rPr>
            </w:pPr>
            <w:r>
              <w:rPr>
                <w:rFonts w:ascii="Arial" w:cs="Arial" w:eastAsia="Arial" w:hAnsi="Arial"/>
                <w:sz w:val="18"/>
                <w:szCs w:val="18"/>
                <w:color w:val="auto"/>
                <w:w w:val="88"/>
                <w:shd w:val="clear" w:color="auto" w:fill="BFE4FF"/>
              </w:rPr>
              <w:t>Other current and non-current assets</w:t>
            </w:r>
          </w:p>
        </w:tc>
        <w:tc>
          <w:tcPr>
            <w:tcW w:w="7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67</w:t>
            </w:r>
          </w:p>
        </w:tc>
      </w:tr>
      <w:tr>
        <w:trPr>
          <w:trHeight w:val="243"/>
        </w:trPr>
        <w:tc>
          <w:tcPr>
            <w:tcW w:w="360" w:type="dxa"/>
            <w:vAlign w:val="bottom"/>
          </w:tcPr>
          <w:p>
            <w:pPr>
              <w:spacing w:after="0"/>
              <w:rPr>
                <w:sz w:val="21"/>
                <w:szCs w:val="21"/>
                <w:color w:val="auto"/>
              </w:rPr>
            </w:pPr>
          </w:p>
        </w:tc>
        <w:tc>
          <w:tcPr>
            <w:tcW w:w="9000" w:type="dxa"/>
            <w:vAlign w:val="bottom"/>
            <w:gridSpan w:val="7"/>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53"/>
        </w:trPr>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23"/>
        </w:trPr>
        <w:tc>
          <w:tcPr>
            <w:tcW w:w="3700" w:type="dxa"/>
            <w:vAlign w:val="bottom"/>
            <w:tcBorders>
              <w:top w:val="single" w:sz="8" w:color="CCEEFF"/>
              <w:left w:val="single" w:sz="8" w:color="CCEEFF"/>
              <w:bottom w:val="single" w:sz="8" w:color="CCEEFF"/>
            </w:tcBorders>
            <w:gridSpan w:val="6"/>
            <w:shd w:val="clear" w:color="auto" w:fill="BFE4FF"/>
          </w:tcPr>
          <w:p>
            <w:pPr>
              <w:ind w:left="40"/>
              <w:spacing w:after="0" w:line="202" w:lineRule="exact"/>
              <w:rPr>
                <w:sz w:val="20"/>
                <w:szCs w:val="20"/>
                <w:color w:val="auto"/>
              </w:rPr>
            </w:pPr>
            <w:r>
              <w:rPr>
                <w:rFonts w:ascii="Arial" w:cs="Arial" w:eastAsia="Arial" w:hAnsi="Arial"/>
                <w:sz w:val="18"/>
                <w:szCs w:val="18"/>
                <w:color w:val="auto"/>
                <w:w w:val="89"/>
                <w:shd w:val="clear" w:color="auto" w:fill="BFE4FF"/>
              </w:rPr>
              <w:t>Estimated fair value of net tangible assets acquired</w:t>
            </w:r>
          </w:p>
        </w:tc>
        <w:tc>
          <w:tcPr>
            <w:tcW w:w="56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5,339</w:t>
            </w:r>
          </w:p>
        </w:tc>
      </w:tr>
      <w:tr>
        <w:trPr>
          <w:trHeight w:val="243"/>
        </w:trPr>
        <w:tc>
          <w:tcPr>
            <w:tcW w:w="9360" w:type="dxa"/>
            <w:vAlign w:val="bottom"/>
            <w:gridSpan w:val="8"/>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17,000</w:t>
            </w:r>
          </w:p>
        </w:tc>
      </w:tr>
      <w:tr>
        <w:trPr>
          <w:trHeight w:val="34"/>
        </w:trPr>
        <w:tc>
          <w:tcPr>
            <w:tcW w:w="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43"/>
        </w:trPr>
        <w:tc>
          <w:tcPr>
            <w:tcW w:w="1440" w:type="dxa"/>
            <w:vAlign w:val="bottom"/>
            <w:tcBorders>
              <w:left w:val="single" w:sz="8" w:color="CCEEFF"/>
              <w:bottom w:val="single" w:sz="8" w:color="CCEEFF"/>
              <w:right w:val="single" w:sz="8" w:color="BFE4FF"/>
            </w:tcBorders>
            <w:gridSpan w:val="3"/>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Estimated goodwill</w:t>
            </w:r>
          </w:p>
        </w:tc>
        <w:tc>
          <w:tcPr>
            <w:tcW w:w="7920" w:type="dxa"/>
            <w:vAlign w:val="bottom"/>
            <w:tcBorders>
              <w:bottom w:val="single" w:sz="8" w:color="CCEEFF"/>
            </w:tcBorders>
            <w:gridSpan w:val="5"/>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18,161</w:t>
            </w:r>
          </w:p>
        </w:tc>
      </w:tr>
      <w:tr>
        <w:trPr>
          <w:trHeight w:val="237"/>
        </w:trPr>
        <w:tc>
          <w:tcPr>
            <w:tcW w:w="9360" w:type="dxa"/>
            <w:vAlign w:val="bottom"/>
            <w:gridSpan w:val="8"/>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40,500</w:t>
            </w:r>
          </w:p>
        </w:tc>
      </w:tr>
      <w:tr>
        <w:trPr>
          <w:trHeight w:val="66"/>
        </w:trPr>
        <w:tc>
          <w:tcPr>
            <w:tcW w:w="36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42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5"/>
        </w:trPr>
        <w:tc>
          <w:tcPr>
            <w:tcW w:w="1440" w:type="dxa"/>
            <w:vAlign w:val="bottom"/>
            <w:tcBorders>
              <w:top w:val="single" w:sz="8" w:color="CCEEFF"/>
              <w:left w:val="single" w:sz="8" w:color="CCEEFF"/>
              <w:bottom w:val="single" w:sz="8" w:color="CCEEFF"/>
              <w:right w:val="single" w:sz="8" w:color="CCEEFF"/>
            </w:tcBorders>
            <w:gridSpan w:val="3"/>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Net purchase price</w:t>
            </w:r>
          </w:p>
        </w:tc>
        <w:tc>
          <w:tcPr>
            <w:tcW w:w="7920" w:type="dxa"/>
            <w:vAlign w:val="bottom"/>
            <w:tcBorders>
              <w:top w:val="single" w:sz="8" w:color="CCEEFF"/>
              <w:bottom w:val="single" w:sz="8" w:color="CCEEFF"/>
            </w:tcBorders>
            <w:gridSpan w:val="5"/>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bottom w:val="single" w:sz="8" w:color="CCEEFF"/>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40,500</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amounts above represent the preliminary fair value estimates as of December 31, 2017 and are subject to subsequent adjustment as the Company obtains additional information during the measurement period. The preliminary identifiable intangible asset estimates include customer relationships of $8,000 with a useful life of 9 years, developed technology of $5,900 with a useful</w:t>
      </w:r>
    </w:p>
    <w:p>
      <w:pPr>
        <w:sectPr>
          <w:pgSz w:w="11900" w:h="16838" w:orient="portrait"/>
          <w:cols w:equalWidth="0" w:num="1">
            <w:col w:w="11420"/>
          </w:cols>
          <w:pgMar w:left="240" w:top="74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6" w:right="239" w:bottom="1440" w:gutter="0" w:footer="0" w:header="0"/>
          <w:type w:val="continuous"/>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life of 7 years and backlog of $3,100 with a useful life of 2 years. Any subsequent adjustments to these fair value estimates occurring during the measurement period will result in an adjustment to goodwill.</w:t>
      </w:r>
    </w:p>
    <w:p>
      <w:pPr>
        <w:spacing w:after="0" w:line="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goodwill of $18,161 largely reflects the potential synergies and expansion of the Company's offerings across product lines and markets complementary to the Company's existing products and markets. The Delta acquisition expands the scale and breadth of the Company’s RF, microwave and millimeter wave capabilities, provides a highly complementary program portfolio in missiles and munitions, deepens market penetration in core radar, electronic warfare ("EW"), and precision-guided munitions markets, and opens new growth opportunities in space launch, GPS, satellite communications and datalinks. The goodwill from this acquisition is reported under the Advanced Microelectronic Solutions (“AMS”) reporting unit.</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Delta was a limited liability company, the acquisition is treated as an asset purchase for tax purposes. The Company has estimated the tax value of the intangible assets from this transaction and is amortizing the amount over 15 years for tax purposes. As of December 31, 2017, the Company had $17,615 of goodwill deductible for tax purposes.</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revenues and income before income taxes from Delta included in the Company's consolidated results for the three months ended December 31, 2017 were $5,229 and $74, respectively. The revenues and income before income taxes from Delta included in the Company's consolidated results for the six months ended December 31, 2017 were $10,761 and $661, respectively. The Company has not furnished pro forma financial information relating to Delta because such information is not material to the Company's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November 4, 2016, the Company and the shareholders of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leading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the several types of unmanned platforms.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fair values of the assets and liabilities of CES: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Cash paid at closing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39,123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adjustment</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tangible assets acquired and liabilities assumed</w:t>
            </w: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8,950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4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net tangible assets acquired</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20,637</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3, 2017, the measurement period for CES expired. The identifiable intangible assets include customer relationships of $9,060 with a useful life of 9 years and developed technology of $5,662 with a useful life of 7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jc w:val="both"/>
        <w:ind w:firstLine="432"/>
        <w:spacing w:after="0" w:line="255" w:lineRule="auto"/>
        <w:rPr>
          <w:sz w:val="20"/>
          <w:szCs w:val="20"/>
          <w:color w:val="auto"/>
        </w:rPr>
      </w:pPr>
      <w:r>
        <w:rPr>
          <w:rFonts w:ascii="Arial" w:cs="Arial" w:eastAsia="Arial" w:hAnsi="Arial"/>
          <w:sz w:val="18"/>
          <w:szCs w:val="18"/>
          <w:color w:val="auto"/>
        </w:rPr>
        <w:t>The goodwill of $20,637 largely reflects the potential synergies and expansion of the Company's offerings across product lines and markets complementary to the Company's existing products and markets. CES provides the Company with capabilities in mission computing, safety-critical avionics and platform management that are in demand from its customers. These new capabilities will also substantially expand Mercury’s addressable market into commercial aerospace, defense platform management, command, control, communications, computers, and intelligence ("C4I") and mission computing markets that are aligned to Mercury’s existing market focus. The acquisition is directly aligned with the Company's strategy of expanding its capabilities, services and offerings along the sensor processing chain. The goodwill from this acquisition is reported under the Sensor and Mission Processing (“SMP”) reporting unit.</w:t>
      </w:r>
    </w:p>
    <w:p>
      <w:pPr>
        <w:spacing w:after="0" w:line="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revenues and income before income taxes from CES included in the Company's consolidated results for the three months ended December 31, 2017 were $7,000 and $2,445, respectively. The revenues and income before income taxes from CES included in the Company's consolidated results for the six months ended December 31, 2017 were $13,319 and $2,093, respectively. The Company has not furnished pro forma financial information relating to CES because such information is not material to the Company's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w:t>
      </w:r>
      <w:r>
        <w:rPr>
          <w:rFonts w:ascii="Arial" w:cs="Arial" w:eastAsia="Arial" w:hAnsi="Arial"/>
          <w:sz w:val="14"/>
          <w:szCs w:val="14"/>
          <w:color w:val="auto"/>
        </w:rPr>
        <w:t>HEMIS</w:t>
      </w:r>
      <w:r>
        <w:rPr>
          <w:rFonts w:ascii="Arial" w:cs="Arial" w:eastAsia="Arial" w:hAnsi="Arial"/>
          <w:sz w:val="20"/>
          <w:szCs w:val="20"/>
          <w:color w:val="auto"/>
        </w:rPr>
        <w:t xml:space="preserve"> C</w:t>
      </w:r>
      <w:r>
        <w:rPr>
          <w:rFonts w:ascii="Arial" w:cs="Arial" w:eastAsia="Arial" w:hAnsi="Arial"/>
          <w:sz w:val="14"/>
          <w:szCs w:val="14"/>
          <w:color w:val="auto"/>
        </w:rPr>
        <w:t>OMPUTER</w:t>
      </w:r>
      <w:r>
        <w:rPr>
          <w:rFonts w:ascii="Arial" w:cs="Arial" w:eastAsia="Arial" w:hAnsi="Arial"/>
          <w:sz w:val="20"/>
          <w:szCs w:val="20"/>
          <w:color w:val="auto"/>
        </w:rPr>
        <w:t xml:space="preserve"> A</w:t>
      </w:r>
      <w:r>
        <w:rPr>
          <w:rFonts w:ascii="Arial" w:cs="Arial" w:eastAsia="Arial" w:hAnsi="Arial"/>
          <w:sz w:val="14"/>
          <w:szCs w:val="14"/>
          <w:color w:val="auto"/>
        </w:rPr>
        <w:t>QUISITION</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21, 2017, the Company and Thunderbird Merger Sub, Inc., a newly formed, wholly-owned subsidiary of Mercury (the “Merger Sub”), entered into an Agreement and Plan of Merger (the “Merger Agreement”) with Ceres Systems (“Ceres”), the holding company that owns Themis Computer (“Themis”, and together with Ceres, collectively the “Acquired Company”). Pursuant to the Merger Agreement, the Merger Sub will merge with and into Ceres with Ceres continuing as the surviving company and a wholly-owned subsidiary of Mercury (the “Merger”). By operation of the Merger, the Company acquired both Ceres and its wholly-owned subsidiary, Themis.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 2018, the Company closed the transaction for an aggregate purchase price of $180,000, plus an estimated adjustment for acquired working capital and cash. The merger consideration is subject to post-closing adjustments based on a determination of closing net working capital, transaction expenses and net debt (all as defined in the Merger Agreement). See Note N "Subsequent Events" to the consolidated financial statements for further discussion.</w:t>
      </w:r>
    </w:p>
    <w:p>
      <w:pPr>
        <w:spacing w:after="0" w:line="237" w:lineRule="exact"/>
        <w:rPr>
          <w:sz w:val="20"/>
          <w:szCs w:val="20"/>
          <w:color w:val="auto"/>
        </w:rPr>
      </w:pPr>
    </w:p>
    <w:p>
      <w:pPr>
        <w:ind w:left="840" w:hanging="751"/>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2017:</w:t>
      </w:r>
    </w:p>
    <w:p>
      <w:pPr>
        <w:spacing w:after="0" w:line="33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080" w:type="dxa"/>
            <w:vAlign w:val="bottom"/>
            <w:tcBorders>
              <w:top w:val="single" w:sz="8" w:color="BFE4FF"/>
              <w:bottom w:val="single" w:sz="8" w:color="BFE4FF"/>
            </w:tcBorders>
            <w:shd w:val="clear" w:color="auto" w:fill="BFE4FF"/>
          </w:tcPr>
          <w:p>
            <w:pPr>
              <w:spacing w:after="0"/>
              <w:rPr>
                <w:sz w:val="23"/>
                <w:szCs w:val="23"/>
                <w:color w:val="auto"/>
              </w:rPr>
            </w:pPr>
          </w:p>
        </w:tc>
        <w:tc>
          <w:tcPr>
            <w:tcW w:w="1360" w:type="dxa"/>
            <w:vAlign w:val="bottom"/>
            <w:tcBorders>
              <w:top w:val="single" w:sz="8" w:color="auto"/>
              <w:bottom w:val="single" w:sz="8" w:color="BFE4FF"/>
            </w:tcBorders>
            <w:gridSpan w:val="3"/>
            <w:shd w:val="clear" w:color="auto" w:fill="BFE4FF"/>
          </w:tcPr>
          <w:p>
            <w:pPr>
              <w:ind w:left="40"/>
              <w:spacing w:after="0"/>
              <w:rPr>
                <w:sz w:val="20"/>
                <w:szCs w:val="20"/>
                <w:color w:val="auto"/>
              </w:rPr>
            </w:pPr>
            <w:r>
              <w:rPr>
                <w:rFonts w:ascii="Arial" w:cs="Arial" w:eastAsia="Arial" w:hAnsi="Arial"/>
                <w:sz w:val="14"/>
                <w:szCs w:val="14"/>
                <w:b w:val="1"/>
                <w:bCs w:val="1"/>
                <w:color w:val="auto"/>
              </w:rPr>
              <w:t>December 31, 2017</w:t>
            </w:r>
          </w:p>
        </w:tc>
        <w:tc>
          <w:tcPr>
            <w:tcW w:w="400" w:type="dxa"/>
            <w:vAlign w:val="bottom"/>
            <w:tcBorders>
              <w:top w:val="single" w:sz="8" w:color="auto"/>
              <w:bottom w:val="single" w:sz="8" w:color="BFE4FF"/>
            </w:tcBorders>
            <w:shd w:val="clear" w:color="auto" w:fill="BFE4FF"/>
          </w:tcPr>
          <w:p>
            <w:pPr>
              <w:spacing w:after="0"/>
              <w:rPr>
                <w:sz w:val="23"/>
                <w:szCs w:val="23"/>
                <w:color w:val="auto"/>
              </w:rPr>
            </w:pPr>
          </w:p>
        </w:tc>
        <w:tc>
          <w:tcPr>
            <w:tcW w:w="440" w:type="dxa"/>
            <w:vAlign w:val="bottom"/>
            <w:tcBorders>
              <w:top w:val="single" w:sz="8" w:color="auto"/>
              <w:bottom w:val="single" w:sz="8" w:color="BFE4FF"/>
            </w:tcBorders>
            <w:shd w:val="clear" w:color="auto" w:fill="BFE4FF"/>
          </w:tcPr>
          <w:p>
            <w:pPr>
              <w:spacing w:after="0"/>
              <w:rPr>
                <w:sz w:val="20"/>
                <w:szCs w:val="20"/>
                <w:color w:val="auto"/>
              </w:rPr>
            </w:pPr>
            <w:r>
              <w:rPr>
                <w:rFonts w:ascii="Arial" w:cs="Arial" w:eastAsia="Arial" w:hAnsi="Arial"/>
                <w:sz w:val="14"/>
                <w:szCs w:val="14"/>
                <w:b w:val="1"/>
                <w:bCs w:val="1"/>
                <w:color w:val="auto"/>
                <w:w w:val="88"/>
                <w:shd w:val="clear" w:color="auto" w:fill="BFE4FF"/>
              </w:rPr>
              <w:t>Level 1</w:t>
            </w:r>
          </w:p>
        </w:tc>
        <w:tc>
          <w:tcPr>
            <w:tcW w:w="420" w:type="dxa"/>
            <w:vAlign w:val="bottom"/>
            <w:tcBorders>
              <w:top w:val="single" w:sz="8" w:color="auto"/>
              <w:bottom w:val="single" w:sz="8" w:color="BFE4FF"/>
            </w:tcBorders>
            <w:shd w:val="clear" w:color="auto" w:fill="BFE4FF"/>
          </w:tcPr>
          <w:p>
            <w:pPr>
              <w:spacing w:after="0"/>
              <w:rPr>
                <w:sz w:val="23"/>
                <w:szCs w:val="23"/>
                <w:color w:val="auto"/>
              </w:rPr>
            </w:pPr>
          </w:p>
        </w:tc>
        <w:tc>
          <w:tcPr>
            <w:tcW w:w="100" w:type="dxa"/>
            <w:vAlign w:val="bottom"/>
            <w:tcBorders>
              <w:top w:val="single" w:sz="8" w:color="auto"/>
              <w:bottom w:val="single" w:sz="8" w:color="BFE4FF"/>
            </w:tcBorders>
            <w:shd w:val="clear" w:color="auto" w:fill="BFE4FF"/>
          </w:tcPr>
          <w:p>
            <w:pPr>
              <w:spacing w:after="0"/>
              <w:rPr>
                <w:sz w:val="23"/>
                <w:szCs w:val="23"/>
                <w:color w:val="auto"/>
              </w:rPr>
            </w:pPr>
          </w:p>
        </w:tc>
        <w:tc>
          <w:tcPr>
            <w:tcW w:w="400" w:type="dxa"/>
            <w:vAlign w:val="bottom"/>
            <w:tcBorders>
              <w:top w:val="single" w:sz="8" w:color="auto"/>
              <w:bottom w:val="single" w:sz="8" w:color="BFE4FF"/>
            </w:tcBorders>
            <w:shd w:val="clear" w:color="auto" w:fill="BFE4FF"/>
          </w:tcPr>
          <w:p>
            <w:pPr>
              <w:spacing w:after="0"/>
              <w:rPr>
                <w:sz w:val="23"/>
                <w:szCs w:val="23"/>
                <w:color w:val="auto"/>
              </w:rPr>
            </w:pPr>
          </w:p>
        </w:tc>
        <w:tc>
          <w:tcPr>
            <w:tcW w:w="860" w:type="dxa"/>
            <w:vAlign w:val="bottom"/>
            <w:tcBorders>
              <w:top w:val="single" w:sz="8" w:color="auto"/>
              <w:bottom w:val="single" w:sz="8" w:color="BFE4FF"/>
            </w:tcBorders>
            <w:shd w:val="clear" w:color="auto" w:fill="BFE4FF"/>
          </w:tcPr>
          <w:p>
            <w:pPr>
              <w:jc w:val="right"/>
              <w:ind w:right="336"/>
              <w:spacing w:after="0"/>
              <w:rPr>
                <w:sz w:val="20"/>
                <w:szCs w:val="20"/>
                <w:color w:val="auto"/>
              </w:rPr>
            </w:pPr>
            <w:r>
              <w:rPr>
                <w:rFonts w:ascii="Arial" w:cs="Arial" w:eastAsia="Arial" w:hAnsi="Arial"/>
                <w:sz w:val="14"/>
                <w:szCs w:val="14"/>
                <w:b w:val="1"/>
                <w:bCs w:val="1"/>
                <w:color w:val="auto"/>
                <w:w w:val="88"/>
                <w:shd w:val="clear" w:color="auto" w:fill="BFE4FF"/>
              </w:rPr>
              <w:t>Level 2</w:t>
            </w:r>
          </w:p>
        </w:tc>
        <w:tc>
          <w:tcPr>
            <w:tcW w:w="100" w:type="dxa"/>
            <w:vAlign w:val="bottom"/>
            <w:tcBorders>
              <w:top w:val="single" w:sz="8" w:color="auto"/>
              <w:bottom w:val="single" w:sz="8" w:color="BFE4FF"/>
            </w:tcBorders>
            <w:shd w:val="clear" w:color="auto" w:fill="BFE4FF"/>
          </w:tcPr>
          <w:p>
            <w:pPr>
              <w:spacing w:after="0"/>
              <w:rPr>
                <w:sz w:val="23"/>
                <w:szCs w:val="23"/>
                <w:color w:val="auto"/>
              </w:rPr>
            </w:pPr>
          </w:p>
        </w:tc>
        <w:tc>
          <w:tcPr>
            <w:tcW w:w="400" w:type="dxa"/>
            <w:vAlign w:val="bottom"/>
            <w:tcBorders>
              <w:top w:val="single" w:sz="8" w:color="auto"/>
              <w:bottom w:val="single" w:sz="8" w:color="BFE4FF"/>
            </w:tcBorders>
            <w:shd w:val="clear" w:color="auto" w:fill="BFE4FF"/>
          </w:tcPr>
          <w:p>
            <w:pPr>
              <w:spacing w:after="0"/>
              <w:rPr>
                <w:sz w:val="23"/>
                <w:szCs w:val="23"/>
                <w:color w:val="auto"/>
              </w:rPr>
            </w:pPr>
          </w:p>
        </w:tc>
        <w:tc>
          <w:tcPr>
            <w:tcW w:w="460" w:type="dxa"/>
            <w:vAlign w:val="bottom"/>
            <w:tcBorders>
              <w:top w:val="single" w:sz="8" w:color="auto"/>
              <w:bottom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w w:val="88"/>
                <w:shd w:val="clear" w:color="auto" w:fill="BFE4FF"/>
              </w:rPr>
              <w:t>Level 3</w:t>
            </w:r>
          </w:p>
        </w:tc>
        <w:tc>
          <w:tcPr>
            <w:tcW w:w="400" w:type="dxa"/>
            <w:vAlign w:val="bottom"/>
            <w:tcBorders>
              <w:top w:val="single" w:sz="8" w:color="auto"/>
              <w:bottom w:val="single" w:sz="8" w:color="BFE4FF"/>
            </w:tcBorders>
            <w:shd w:val="clear" w:color="auto" w:fill="BFE4FF"/>
          </w:tcPr>
          <w:p>
            <w:pPr>
              <w:spacing w:after="0"/>
              <w:rPr>
                <w:sz w:val="23"/>
                <w:szCs w:val="23"/>
                <w:color w:val="auto"/>
              </w:rPr>
            </w:pP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r>
      <w:tr>
        <w:trPr>
          <w:trHeight w:val="41"/>
        </w:trPr>
        <w:tc>
          <w:tcPr>
            <w:tcW w:w="6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70"/>
        </w:trPr>
        <w:tc>
          <w:tcPr>
            <w:tcW w:w="60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shd w:val="clear" w:color="auto" w:fill="BFE4FF"/>
              </w:rPr>
              <w:t>Certificates of deposit</w:t>
            </w:r>
          </w:p>
        </w:tc>
        <w:tc>
          <w:tcPr>
            <w:tcW w:w="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BFE4FF"/>
            </w:tcBorders>
            <w:shd w:val="clear" w:color="auto" w:fill="BFE4FF"/>
          </w:tcPr>
          <w:p>
            <w:pPr>
              <w:spacing w:after="0"/>
              <w:rPr>
                <w:sz w:val="23"/>
                <w:szCs w:val="23"/>
                <w:color w:val="auto"/>
              </w:rPr>
            </w:pPr>
          </w:p>
        </w:tc>
        <w:tc>
          <w:tcPr>
            <w:tcW w:w="520" w:type="dxa"/>
            <w:vAlign w:val="bottom"/>
            <w:tcBorders>
              <w:bottom w:val="single" w:sz="8" w:color="BFE4FF"/>
            </w:tcBorders>
            <w:gridSpan w:val="2"/>
            <w:shd w:val="clear" w:color="auto" w:fill="BFE4FF"/>
          </w:tcPr>
          <w:p>
            <w:pPr>
              <w:ind w:left="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net realizable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22,567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9,859</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105,912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81,071</w:t>
            </w:r>
          </w:p>
        </w:tc>
      </w:tr>
      <w:tr>
        <w:trPr>
          <w:trHeight w:val="27"/>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changes in the carrying amount of goodwill by reporting unit for the six months ended December 31,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SMP</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AMS</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MDS</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380,846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adjustment for the CES acquisition</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adjustment for the Delta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arising from the RTL acquisition</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3,447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384,785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 xml:space="preserve">In the six months ended December 31, 2017, there were no triggering events, as defined by FASB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which required an interim goodwill impairment test. The Company performs its annual goodwill impairment test in the fourth quarter of each fiscal year.</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Related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December 31,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six months ended December 31, 2017, the Company incurred net restructuring and other charges of $408. Restructuring and other charges are typically related to acquisitions and organizational redesign programs initiated as part of discrete post-acquisition integration activities.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any remaining severance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22, 2017, the Tax Cuts and Jobs Act of 2017 (the “Tax Act”) was enacted by the U.S. government. The Tax Act has impacted the U.S. statutory Federal tax rate that the Company will use going forward, which has been reduced to 21% from 35%. As the Company has a June 30 fiscal year-end, the lower corporate income tax rate will be phased in, resulting in a U.S. statutory Federal rate of approximately 28% for our fiscal year ending June 30, 2018, and 21% for subsequent fiscal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The Tax Act also includes items that the Company expects will increase its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8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To transition to the reduced U.S. corporate tax rate, an adjustment is required to be made to our U.S. deferred tax assets and liabilities. For the three months ended December 31, 2017, the adjustment to the U.S. deferred tax assets and liabilities resulted in a tax benefit of $1,286. The Tax Act includes a transition tax, which is a one-time tax charge on accumulated, undistributed foreign earnings. The calculation of accumulated foreign earnings requires an analysis of each foreign entity’s financial results going back to 1986, including historical tax information that is not yet available to management. The Company has not recorded any transition tax associated with its accumulated, undistributed foreign earnings given its current U.S. tax attributes, including the availability of foreign tax credits. For the three months ended December 31, 2017, the Company has recorded a provisional tax expense of $415 as it no longer expects to utilize certain foreign tax credits. The Company continues to evaluate its transition tax obligation and expects to finalize its conclusions by the end of fiscal 2018. The Company does not expect the final amounts to be materially different than those recorded within this period. For the three-months ended December 31, 2017, the Company has recorded all known and estimable impacts of the Tax Act that are effective for fiscal year 2018. In accordance with SEC Staff Accounting Bulletin 118 (“SAB 118”), future adjustments to the provisional numbers will be recorded as discrete adjustments to income tax expense in the period in which those adjustments become estimable and finalized.</w:t>
      </w:r>
    </w:p>
    <w:p>
      <w:pPr>
        <w:spacing w:after="0" w:line="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recorded an income tax provision of $1,335 and $1,779 on income from operations before income taxes of $10,468 and $6,983 for the three months ended December 31, 2017 and 2016, respectively. The Company recorded an income tax benefit of $7,046 and an income tax provision of $520 on income from operations before income taxes of $20,040 and $9,543 for the six months ended December 31, 2017 and 2016, respectively.</w:t>
      </w:r>
    </w:p>
    <w:p>
      <w:pPr>
        <w:spacing w:after="0" w:line="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three months ended December 31, 2017 and 2016, the Company recognized a discrete tax expense and benefit of $294 and $634, respectively, related to excess tax benefits on stock-based compensation. The discrete tax expense for the three months ended December 31, 2017 included the enactment of the Tax Act which revalued the excess tax benefit previously recorded in the three months ended September 30, 2017. The excess tax benefit related to stock-based compensation is the result of an increase in value from the stock award between the grant date and the vest date. The effective tax rate for the three months ended December 31, 2017 and 2016 differed from the Federal statutory rate primarily due to Federal research and development credits, domestic manufacturing deduction, excess tax benefits related to stock compensation, and state taxes.</w:t>
      </w:r>
    </w:p>
    <w:p>
      <w:pPr>
        <w:spacing w:after="0" w:line="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During the six months ended December 31, 2017 and 2016, the Company recognized a discrete tax benefit of $7,579 and $2,817, respectively, related to excess tax benefits on stock-based compensation. The discrete tax benefit for the six months ended December 31, 2017 included the enactment of the Tax Act which revalued the excess tax benefit previously recorded in the three months ended September 30, 2017. The benefit is the result of the increase in value from the stock award between the grant date and the vest date. The six months ended December 31, 2017 also included discrete tax benefits of $3,716, derived from new information obtained about net operating loss carry-forwards of the entities acquired from Microsemi Corporation in May 2016. The discrete items disclosed above for the six months ended December 31, 2017 included the effect of the Tax Act. The effective tax rate for the six months ended December 31, 2017 and 2016 differed from the Federal statutory rate primarily due to Federal research and development credits, domestic manufacturing deduction, excess tax benefits related to stock compensation, and state taxes.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material changes in the Company’s unrecognized tax positions occurred during the six months ended December 31, 2017.</w:t>
      </w:r>
    </w:p>
    <w:p>
      <w:pPr>
        <w:spacing w:after="0" w:line="24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27, 2017, the Company amended its revolving credit facility to increase and extend the borrowing capacity of its existing revolving credit facility into a $400,000, 5-year revolving credit line expiring in June 2022 (“the Revolver”). As of December 31, 2017, the Company's outstanding balance of unamortized deferred financing costs was $5,991, which is being amortized to other (expense) income, net on a straight line basis over the new term of the Revolver. The Company drew $195,000 from the Revolver to facilitate the completion of the Merger Agreement for the acquisition of both Ceres and its wholly-owned subsidiary, Themis.</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2017, the Company was in compliance with all covenants and conditions under the Revolver and there were no outstanding borrowings against the revolver. There were outstanding letters of credit of $2,760 as of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15,252 shares at December 31, 2017.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1,496 shares available for future grant under the 2005 Plan at December 31, 2017.</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Company's ongoing annual equity grant program for employees, the Company grants performance-based restricted stock awards to certain executives and employees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include: (i) the achievement of internal performance targets only, and (ii) the achievement of internal performance targets in relation to a peer group of companies.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39 and 50 shares issued under the ESPP during the six months ended December 31, 2017 and 2016, respectively. Shares available for future purchase under the ESPP totaled 263 at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ind w:left="34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2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2017:</w:t>
      </w:r>
    </w:p>
    <w:p>
      <w:pPr>
        <w:spacing w:after="0" w:line="284"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Non-vested Restricted Stock Awards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ind w:right="77"/>
              <w:spacing w:after="0" w:line="15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1,564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recognizes expense for its share-based payment plans in the consolidated statements of operations for the six months ended December 31, 2017 and 2016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had $265 and $177 of capitalized stock-based compensation expense on the consolidated balance sheets as of December 31, 2017 and 2016, respectively.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December 31,</w:t>
            </w:r>
          </w:p>
        </w:tc>
      </w:tr>
      <w:tr>
        <w:trPr>
          <w:trHeight w:val="270"/>
        </w:trPr>
        <w:tc>
          <w:tcPr>
            <w:tcW w:w="516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223</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924</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(1,593)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(2,964)</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net of income taxes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4,761</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823" w:right="239" w:bottom="0" w:gutter="0" w:footer="0" w:header="0"/>
        </w:sectPr>
      </w:pPr>
    </w:p>
    <w:bookmarkStart w:id="14" w:name="page15"/>
    <w:bookmarkEnd w:id="14"/>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ENSION</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With the acquisition of CES on November 4, 2016, the Company assumed a defined benefit pension plan (the "Plan") for its Swiss employees, which is administered by an independent pension fund. The Plan is mandated by Swiss law and meets the criteria for a defined benefit plan under ASC 715, </w:t>
      </w:r>
      <w:r>
        <w:rPr>
          <w:rFonts w:ascii="Arial" w:cs="Arial" w:eastAsia="Arial" w:hAnsi="Arial"/>
          <w:sz w:val="17"/>
          <w:szCs w:val="17"/>
          <w:i w:val="1"/>
          <w:iCs w:val="1"/>
          <w:color w:val="auto"/>
        </w:rPr>
        <w:t>Compensation—Retirement Benefits</w:t>
      </w:r>
      <w:r>
        <w:rPr>
          <w:rFonts w:ascii="Arial" w:cs="Arial" w:eastAsia="Arial" w:hAnsi="Arial"/>
          <w:sz w:val="17"/>
          <w:szCs w:val="17"/>
          <w:color w:val="auto"/>
        </w:rPr>
        <w:t xml:space="preserve"> (“ASC 715”), because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 The Plan's funded status at December 31, 2017 was a net liability of $6,647, which is recorded in other non-current liabilities on the consolidated balance sheets. The Company recorded a net gain of $10 and $40 in accumulated other comprehensive income during the three and six months ended December 31, 2017, respectively. The Company recognized net periodic benefit costs of $201 and $407 associated with the Plan for the three and six months ended December 31, 2017, respectively. The Company's total expected employer contributions to the Plan during fiscal 2018 are $516.</w:t>
      </w:r>
    </w:p>
    <w:p>
      <w:pPr>
        <w:spacing w:after="0" w:line="21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8" w:right="239" w:bottom="1440" w:gutter="0" w:footer="0" w:header="0"/>
        </w:sectPr>
      </w:pPr>
    </w:p>
    <w:bookmarkStart w:id="15" w:name="page16"/>
    <w:bookmarkEnd w:id="15"/>
    <w:p>
      <w:pPr>
        <w:ind w:right="720" w:firstLine="432"/>
        <w:spacing w:after="0" w:line="277" w:lineRule="auto"/>
        <w:rPr>
          <w:sz w:val="20"/>
          <w:szCs w:val="20"/>
          <w:color w:val="auto"/>
        </w:rPr>
      </w:pPr>
      <w:r>
        <w:rPr>
          <w:rFonts w:ascii="Arial" w:cs="Arial" w:eastAsia="Arial" w:hAnsi="Arial"/>
          <w:sz w:val="18"/>
          <w:szCs w:val="18"/>
          <w:color w:val="auto"/>
        </w:rPr>
        <w:t>The geographic distribution of the Company’s revenues as determined by order origination based on the country in which the Company's legal subsidiary is domiciled is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105,687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117,912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108,856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117,912</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DECEMBER 31, 2016</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91,407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98,014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98,014</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2017</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203,402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223,981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208,318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223,981</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DECEMBER 31, 2016</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174,455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185,663</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185,663</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recent years, the Company completed a series of acquisitions that changed its technological capabilities, applications and end markets. As these acquisitions and changes occurred, the Company increased the proportion of its revenue derived from the sale of components in different technological areas, and also increased the amount of revenue associated with combining technologies into more complex and diverse products including modules, sub-assemblies and integrated subsystems. The following tables present revenue consistent with the Company's strategy of expanding its technological capabilities and program content.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end user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Domestic (1)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89,969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83,052</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179,647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156,578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International/Foreign Military Sales (2)</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98,014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223,981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185,663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Domestic revenues consist of sales where the end user is within the U.S., as well as sales to prime defense contractor customers where the ultimate end user location is not defined.</w:t>
      </w:r>
    </w:p>
    <w:p>
      <w:pPr>
        <w:spacing w:after="0" w:line="13" w:lineRule="exact"/>
        <w:rPr>
          <w:rFonts w:ascii="Arial" w:cs="Arial" w:eastAsia="Arial" w:hAnsi="Arial"/>
          <w:sz w:val="14"/>
          <w:szCs w:val="14"/>
          <w:color w:val="auto"/>
        </w:rPr>
      </w:pPr>
    </w:p>
    <w:p>
      <w:pPr>
        <w:ind w:firstLine="8"/>
        <w:spacing w:after="0" w:line="255"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International/Foreign Military Sales consist of sales to U.S. prime defense contractor customers where the end user is known to be outside the U.S., foreign military sales through the U.S. government, and direct sales to non-U.S. based customers intended for end use outside of the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t>The following table below presents the Company's net revenue by end application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Radar (1)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44,678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44,803</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81,218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82,292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 Warfare (2)</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42,284</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Sensor &amp; Effector (3)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20,741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Sensor &amp; Effector</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133,883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C4I (4)</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(5)</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98,014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223,981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185,663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Radar includes end-use applications where radio frequency signals are utilized to detect, track, and identify objects.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Electronic Warfare includes end-use applications comprising the offensive and defensive use of the electromagnetic spectrum.</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Sensor &amp; Effector products include all Sensor &amp; Effector end markets other than Radar and Electronic Warfare.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C4I includes rugged secure rackmount servers that are designed to drive the most powerful military processing applications.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products include all component and other sales where the end use is not specified.</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product grouping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December</w:t>
            </w:r>
          </w:p>
        </w:tc>
        <w:tc>
          <w:tcPr>
            <w:tcW w:w="21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Components (1)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39,908</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24,636</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72,720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Modules and Sub-assemblies (2)</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75,152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Integrated Subsystems (3)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61,801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66,043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117,912</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185,663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8"/>
        <w:spacing w:after="0" w:line="247" w:lineRule="auto"/>
        <w:tabs>
          <w:tab w:leader="none" w:pos="2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Components include technology elements typically performing a single, discrete technological function, which when physically 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1" w:lineRule="exact"/>
        <w:rPr>
          <w:rFonts w:ascii="Arial" w:cs="Arial" w:eastAsia="Arial" w:hAnsi="Arial"/>
          <w:sz w:val="14"/>
          <w:szCs w:val="14"/>
          <w:color w:val="auto"/>
        </w:rPr>
      </w:pPr>
    </w:p>
    <w:p>
      <w:pPr>
        <w:jc w:val="both"/>
        <w:ind w:firstLine="8"/>
        <w:spacing w:after="0" w:line="241" w:lineRule="auto"/>
        <w:tabs>
          <w:tab w:leader="none" w:pos="209" w:val="left"/>
        </w:tabs>
        <w:numPr>
          <w:ilvl w:val="0"/>
          <w:numId w:val="17"/>
        </w:numPr>
        <w:rPr>
          <w:rFonts w:ascii="Arial" w:cs="Arial" w:eastAsia="Arial" w:hAnsi="Arial"/>
          <w:sz w:val="14"/>
          <w:szCs w:val="14"/>
          <w:color w:val="auto"/>
        </w:rPr>
      </w:pPr>
      <w:r>
        <w:rPr>
          <w:rFonts w:ascii="Arial" w:cs="Arial" w:eastAsia="Arial" w:hAnsi="Arial"/>
          <w:sz w:val="14"/>
          <w:szCs w:val="14"/>
          <w:color w:val="auto"/>
        </w:rPr>
        <w:t>Modules and Sub-assemblies include combinations of multiple functional technology elements and/or components that 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(input-output) boards, multi-chip modules, integrated radio frequency and microwave multi-function assemblies, tuners, and transceivers.</w:t>
      </w:r>
    </w:p>
    <w:p>
      <w:pPr>
        <w:spacing w:after="0" w:line="1" w:lineRule="exact"/>
        <w:rPr>
          <w:rFonts w:ascii="Arial" w:cs="Arial" w:eastAsia="Arial" w:hAnsi="Arial"/>
          <w:sz w:val="14"/>
          <w:szCs w:val="14"/>
          <w:color w:val="auto"/>
        </w:rPr>
      </w:pPr>
    </w:p>
    <w:p>
      <w:pPr>
        <w:jc w:val="both"/>
        <w:ind w:firstLine="8"/>
        <w:spacing w:after="0" w:line="246" w:lineRule="auto"/>
        <w:tabs>
          <w:tab w:leader="none" w:pos="2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Integrated Subsystems include multiple modules and/or subassemblies combined with a backplane or similar functional 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sub-assemblies sold as part of the same program for use in or with integrated subsystems sold by the Company.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50,340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51,643</w:t>
            </w:r>
          </w:p>
        </w:tc>
      </w:tr>
      <w:tr>
        <w:trPr>
          <w:trHeight w:val="351"/>
        </w:trPr>
        <w:tc>
          <w:tcPr>
            <w:tcW w:w="6080" w:type="dxa"/>
            <w:vAlign w:val="bottom"/>
            <w:gridSpan w:val="4"/>
          </w:tcPr>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 December 31,</w:t>
            </w:r>
          </w:p>
        </w:tc>
        <w:tc>
          <w:tcPr>
            <w:tcW w:w="22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7"/>
              </w:rPr>
              <w:t>Six Months Ended December 31,</w:t>
            </w:r>
          </w:p>
        </w:tc>
      </w:tr>
      <w:tr>
        <w:trPr>
          <w:trHeight w:val="264"/>
        </w:trPr>
        <w:tc>
          <w:tcPr>
            <w:tcW w:w="67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17"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 December 31,</w:t>
            </w:r>
          </w:p>
        </w:tc>
        <w:tc>
          <w:tcPr>
            <w:tcW w:w="22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7"/>
              </w:rPr>
              <w:t>Six Months Ended December 31,</w:t>
            </w:r>
          </w:p>
        </w:tc>
      </w:tr>
      <w:tr>
        <w:trPr>
          <w:trHeight w:val="270"/>
        </w:trPr>
        <w:tc>
          <w:tcPr>
            <w:tcW w:w="67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F-35</w:t>
            </w: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Aegis</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its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2017, the Company has entered into non-cancelable purchase commitments for certain inventory components and services used in its normal operations. The purchase commitments covered by these agreements are for less than one year and aggregate to $50,653.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employees’ tax liabilities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HEMIS</w:t>
      </w:r>
      <w:r>
        <w:rPr>
          <w:rFonts w:ascii="Arial" w:cs="Arial" w:eastAsia="Arial" w:hAnsi="Arial"/>
          <w:sz w:val="18"/>
          <w:szCs w:val="18"/>
          <w:color w:val="auto"/>
        </w:rPr>
        <w:t xml:space="preserve"> C</w:t>
      </w:r>
      <w:r>
        <w:rPr>
          <w:rFonts w:ascii="Arial" w:cs="Arial" w:eastAsia="Arial" w:hAnsi="Arial"/>
          <w:sz w:val="14"/>
          <w:szCs w:val="14"/>
          <w:color w:val="auto"/>
        </w:rPr>
        <w:t>OMPUTER</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21, 2017, the Merger Sub, entered into the Merger Agreement with Ceres, the holding company that owns Themis. Pursuant to the Merger Agreement, the Merger Sub will merge with and into Ceres with Ceres continuing as the surviving company and a wholly-owned subsidiary of Mercury. By operation of the Merger, the Company acquired both Ceres and its wholly-owned subsidiary, Themis.</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Based in Fremont, California, Themis is a leading designer and manufacturer of commercial, SWaP-optimized rugged servers, computers, and storage systems for U.S. and international defense programs.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the terms of the Merger Agreement, the merger consideration (including payments with respect to outstanding stock options) consisted of an all cash purchase price of $180,000, without interest. The merger consideration is subject to post-closing</w:t>
      </w:r>
    </w:p>
    <w:p>
      <w:pPr>
        <w:sectPr>
          <w:pgSz w:w="11900" w:h="16838" w:orient="portrait"/>
          <w:cols w:equalWidth="0" w:num="1">
            <w:col w:w="11420"/>
          </w:cols>
          <w:pgMar w:left="240" w:top="692" w:right="239" w:bottom="108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92" w:right="239" w:bottom="1081" w:gutter="0" w:footer="0" w:header="0"/>
          <w:type w:val="continuous"/>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adjustments based on a determination of closing net working capital, transaction expenses and net debt (all as defined in the Merger Agreement). A related escrow agreement establishes an escrow amount of $1,500 in respect of post-closing adjustments owed to the Company and an escrow amount of $900 in respect of indemnification obligations to the Company.</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1, 2018, the Company closed the transaction for an aggregate purchase price of $180,000, plus an estimated adjustment for acquired working capital and cash. The Company drew $195,000 on the Revolver to facilitate the closing of the acquisition, with the higher amount reflecting an estimated adjustment for working capital, including cash, expected to be received with the Acquired Company at closing.</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not completed its preliminary purchase price allocation for Ceres as not all information required for the analysis was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9" w:name="page20"/>
    <w:bookmarkEnd w:id="19"/>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05"/>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("SEC")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any U.S. Federal government shutdown or extended continuing resolution,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cyber-security regulations and requirements, changes in tax rates or tax regulations,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2017. We caution readers not to place undue reliance upon any such forward-looking statements, which speak only as of the date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Mercury Systems, Inc. is a leading commercial provider of secure sensor and safety critical mission processing subsystems. Optimized for customer and mission success, our solutions power a wide variety of critical defense and intelligence programs. Headquartered in Andover, Massachusetts, we are pioneering a next-generation defense electronics business model designed to meet the industry’s current and emerging business needs. We deliver affordable innovative solutions, rapid time-to-value and service and support primarily to defense prime contractor customers. Our products and solutions have been deployed in more than 300 programs with over 25 different defense prime contractors. Key programs include Aegis, Patriot, Surface Electronic Warfare Improvement Program (“SEWIP”), Gorgon Stare, Predator, F-35, F-16 SABR, E2D Hawkeye, Reaper, and Paveway. Our organizational structure allows us to deliver capabilities that combine technology building blocks and deep domain expertise in defense sector.</w:t>
      </w:r>
    </w:p>
    <w:p>
      <w:pPr>
        <w:spacing w:after="0" w:line="5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provide significant capabilities relating to pre-integrated electronic warfare,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432"/>
        <w:spacing w:after="0" w:line="257" w:lineRule="auto"/>
        <w:rPr>
          <w:sz w:val="20"/>
          <w:szCs w:val="20"/>
          <w:color w:val="auto"/>
        </w:rPr>
      </w:pPr>
      <w:r>
        <w:rPr>
          <w:rFonts w:ascii="Arial" w:cs="Arial" w:eastAsia="Arial" w:hAnsi="Arial"/>
          <w:sz w:val="18"/>
          <w:szCs w:val="18"/>
          <w:color w:val="auto"/>
        </w:rPr>
        <w:t>Since we conduct much of our business with our defense customers via commercial item sales,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2017, we had 1,205 employees. Our consolidated revenues, net income, net earnings per share, adjusted earnings per share ("adjusted EPS"), and adjusted EBITDA for the three months ended December 31, 2017 were $117.9 million, $9.1 million, $0.19, $0.28, and $26.9 million, respectively. See the Non-GAAP Financial Measures section for a reconciliation to our most directly comparable GAAP financial measures. Our consolidated revenues, net income, net earnings per share, adjusted earnings per share ("adjusted EPS"), and adjusted EBITDA for the six months ended December 31, 2017 were $224.0 million, $27.1 million, $0.57, $0.65, and $51.9 million, respectively. See the Non-GAAP Financial Measures section for a reconciliation to our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Results of operations for the three and six month period ended December 31, 2016 do not include results for Delta Microwave, LLC ("Delta") or Richland Technologies, L.L.C. ("RTL") since these businesses were acquired subsequent to December 31, 2016 and includes approximately two months results for CES Creative Electronic Systems, S.A. ("CES"), which was acquired on November 4, 2016. Accordingly, the periods presented below are not directly comparable.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2017 compared to the three months ended December 31, 2016</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94"/>
              <w:spacing w:after="0"/>
              <w:rPr>
                <w:sz w:val="20"/>
                <w:szCs w:val="20"/>
                <w:color w:val="auto"/>
              </w:rPr>
            </w:pPr>
            <w:r>
              <w:rPr>
                <w:rFonts w:ascii="Arial" w:cs="Arial" w:eastAsia="Arial" w:hAnsi="Arial"/>
                <w:sz w:val="14"/>
                <w:szCs w:val="14"/>
                <w:b w:val="1"/>
                <w:bCs w:val="1"/>
                <w:color w:val="auto"/>
                <w:w w:val="95"/>
              </w:rPr>
              <w:t>As a %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3"/>
              </w:rPr>
              <w:t>Total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8"/>
              </w:rPr>
              <w:t>December 31, 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gridSpan w:val="7"/>
            <w:vMerge w:val="continue"/>
          </w:tcPr>
          <w:p>
            <w:pPr>
              <w:spacing w:after="0"/>
              <w:rPr>
                <w:sz w:val="13"/>
                <w:szCs w:val="13"/>
                <w:color w:val="auto"/>
              </w:rPr>
            </w:pPr>
          </w:p>
        </w:tc>
        <w:tc>
          <w:tcPr>
            <w:tcW w:w="1020" w:type="dxa"/>
            <w:vAlign w:val="bottom"/>
          </w:tcPr>
          <w:p>
            <w:pPr>
              <w:jc w:val="center"/>
              <w:ind w:right="294"/>
              <w:spacing w:after="0" w:line="158" w:lineRule="exact"/>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117,912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50,625</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15,187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13,156</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1"/>
              </w:rPr>
              <w:t>Acquisition costs and other related expenses</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18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36.7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38,431</w:t>
            </w:r>
          </w:p>
        </w:tc>
        <w:tc>
          <w:tcPr>
            <w:tcW w:w="10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44"/>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60" w:type="dxa"/>
            <w:vAlign w:val="bottom"/>
            <w:gridSpan w:val="3"/>
          </w:tcPr>
          <w:p>
            <w:pPr>
              <w:jc w:val="right"/>
              <w:ind w:right="8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Tax provision</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As a % of</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left="214"/>
              <w:spacing w:after="0"/>
              <w:rPr>
                <w:sz w:val="20"/>
                <w:szCs w:val="20"/>
                <w:color w:val="auto"/>
              </w:rPr>
            </w:pPr>
            <w:r>
              <w:rPr>
                <w:rFonts w:ascii="Arial" w:cs="Arial" w:eastAsia="Arial" w:hAnsi="Arial"/>
                <w:sz w:val="14"/>
                <w:szCs w:val="14"/>
                <w:b w:val="1"/>
                <w:bCs w:val="1"/>
                <w:color w:val="auto"/>
                <w:w w:val="95"/>
              </w:rPr>
              <w:t>As a %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vMerge w:val="restart"/>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Total Net</w:t>
            </w:r>
          </w:p>
        </w:tc>
        <w:tc>
          <w:tcPr>
            <w:tcW w:w="1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vMerge w:val="restart"/>
          </w:tcPr>
          <w:p>
            <w:pPr>
              <w:spacing w:after="0"/>
              <w:rPr>
                <w:sz w:val="12"/>
                <w:szCs w:val="12"/>
                <w:color w:val="auto"/>
              </w:rPr>
            </w:pPr>
          </w:p>
        </w:tc>
        <w:tc>
          <w:tcPr>
            <w:tcW w:w="1020" w:type="dxa"/>
            <w:vAlign w:val="bottom"/>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Total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gridSpan w:val="3"/>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Organic revenue</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94,058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Acquired revenue</w:t>
            </w:r>
          </w:p>
        </w:tc>
        <w:tc>
          <w:tcPr>
            <w:tcW w:w="4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12,955</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8,999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117,912</w:t>
            </w: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98,014</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19,898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Total revenues increased $19.9 million, or 20%, to $117.9 million during the three months ended December 31, 2017 as compared to the same period in fiscal 2017 including "Acquired revenue" which represents net revenue from acquired businesses that have been part of Mercury for completion of four full quarters or less (and excludes any intercompany transactions). After the completion of four fiscal quarters, acquired businesses will be treated as organic for current and comparable historical periods. The increase in total revenues is primarily attributed to the Falcon Edge, SEWIP and E2D Hawkeye programs and the increase of $9.0 million of Acquired revenue. These increases were partially offset by lower revenues from the F-35 program and a large ground based radar program.</w:t>
      </w:r>
    </w:p>
    <w:p>
      <w:pPr>
        <w:spacing w:after="0" w:line="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revenues, which consist of foreign military sales through the U.S. government, sales to prime defense contractor customers where the end user is known to be outside of the U.S., and direct sales to non-U.S. based customers, increased $12.9 million to $27.9 million during the three months ended December 31, 2017, compared to $15.0 million in the same period in the prior fiscal year. International revenues represented 24% and 15% of total revenues during the three months ended December 31, 2017 and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3" w:right="239" w:bottom="1440" w:gutter="0" w:footer="0" w:header="0"/>
        </w:sectPr>
      </w:pPr>
    </w:p>
    <w:bookmarkStart w:id="22" w:name="page23"/>
    <w:bookmarkEnd w:id="22"/>
    <w:p>
      <w:pPr>
        <w:jc w:val="both"/>
        <w:ind w:firstLine="432"/>
        <w:spacing w:after="0" w:line="272" w:lineRule="auto"/>
        <w:rPr>
          <w:sz w:val="20"/>
          <w:szCs w:val="20"/>
          <w:color w:val="auto"/>
        </w:rPr>
      </w:pPr>
      <w:r>
        <w:rPr>
          <w:rFonts w:ascii="Arial" w:cs="Arial" w:eastAsia="Arial" w:hAnsi="Arial"/>
          <w:sz w:val="17"/>
          <w:szCs w:val="17"/>
          <w:color w:val="auto"/>
        </w:rPr>
        <w:t>Revenues from EW, C4I, and Other Sensor and Effector increased by $8.1 million, $6.9 million and $6.3 million, respectively, during the three months ended December 31, 2017 as compared to the same period in fiscal 2017. The EW increase was driven primarily by the SEWIP program, while the increase in C4I was driven by the F-35 program. The increase in Other Sensor and Effector was primarily due to higher revenue from the Precision Guidance Kit ("PGK") program. Additionally, revenues from components, modules &amp; sub-assemblies, and integrated subsystems increased by $15.3 million, $3.2 million, and $1.4 million, respectively, during the three months ended December 31, 2017 as compared to the same period in fiscal 2017. The components increase was driven primarily by the Falcon Edge program, while the increase in modules and sub-assemblies was driven primarily by the SEWIP program. The increase in integrated subsystems was primarily due to higher revenue from the E2D Hawkeye and Aegis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45.9% for the three months ended December 31, 2017, a decrease of 240 basis points from the 48.3% gross margin achieved during the same period in fiscal 2017. The lower gross margin between years was primarily driven by a large last-time component buy by a customer and less F-35 royalty revenue. Lower gross margins for the three months ended December 31, 2017 were partially offset by lower inventory step-up amortization of $0.8 million as compared to the same period in fiscal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increased $1.9 million, or 10%, to $21.2 million during the three months ended December 31, 2017, compared to $19.3 million in the same period in fiscal 2017. The increase was primarily related to higher compensation related costs due to added headcount from the acquisitions of Delta and RTL, as well as the full period impact of the CES acquisition. Selling, general and administrative expenses as a percentage of revenues decreased slightly for the three months ended December 31, 2017 as compared to the same period in fiscal 2017. The decrease was primarily due to higher revenues in the three months ended December 31, 2017, as compared to the same period in fiscal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Research and development expenses increased approximately $2.0 million, or 15%, to $15.2 million during the three months ended December 31, 2017, compared to $13.2 million during the same period in fiscal 2017. The increase was primarily due to increased headcount from the acquisitions of CES, Delta and RTL driving higher compensation related costs, in addition to decreased customer funded development.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charges increased $0.2 million to $0.3 million during the three months ended December 31, 2017, compared to $0.1 million during the same period in fiscal 2017.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incurred $0.7 million of acquisition costs and other related expenses during the three months ended December 31, 2017, compared to $1.0 million during the same period in fiscal 2017. The acquisition costs and other related expenses incurred during the three months ended December 31, 2017 relate to the acquisition of Ceres Systems, the holding company that owns Themis Computer (“Themis”, and together with Ceres, collectively the “Acquired Company”), while fiscal 2017 expenses related to the acquisition of CES. We expect to incur acquisition costs and other related expenses periodically in the future as we continue to seek acquisition opportunities to expand our capabilities and new end markets within the sensor processing chain.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$0.1 million of interest expense during the three months ended December 31, 2017 compared to $1.9 million during the same period in fiscal 2017. The decrease was driven by $1.4 million cash interest expense and $0.5 million of non-cash interest expense related to the amortization of debt issuance costs related to our former term loan, which was repaid in the fourth quarter of fiscal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expense, net decreased $0.2 million to $(0.3) million during the three months ended December 31, 2017, as compared to $(0.1) million in the same period in fiscal 2017. The decrease was primarily due to $0.6 million in financing and registration fees during the three months ended December 31, 2017 compared to $0.1 million for the same period in fiscal 2017. The decrease was also driven by a $0.3 million gain related to the amortization of the gain on the sale leaseback of our former headquarters in fiscal 2017, which was fully amortized in fiscal 2017. The decrease was partially offset by a less than $0.1 million foreign exchange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gain during the three months ended December 31, 2017, as compared to $0.2 million foreign exchange loss during the same period in fiscal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December 22, 2017, the Tax Cuts and Jobs Act of 2017 (the “Tax Act”) was enacted by the U.S. government. The Tax Act has impacted the statutory Federal tax rate that the Company will use going forward, which has been reduced to 21% from 35%. As the Company has a June 30 fiscal year-end, the lower corporate income tax rate will be phased in, resulting in a U.S. statutory Federal rate of approximately 28% for our fiscal year ending June 30, 2018, and 21% for subsequent fiscal years. In addition to the reduced corporate rate we also expect to benefit from the immediate deduction for certain new investments. The Tax Act also includes items that we expect will increase our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7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three months ended December 31, 2017 and 2016, we recognized a discrete tax expense and benefit of $0.3 million and $0.6 million, respectively, related to excess tax benefits on stock-based compensation. The discrete tax expense for the three months ended December 31, 2017 included the enactment of the Tax Act which revalued the excess tax benefit previously recorded in the three months ended September 30, 2017. The excess tax benefit related to stock-based compensation is the result of an increase in value from the stock award between the grant date and the vest date.</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effective tax rate for the three months ended December 31, 2017 differed from the Federal statutory tax rate of 28% primarily due to the one-time impact of the Tax Act, Federal research and development credits, domestic manufacturing deduction, excess tax benefits related to stock compensation, and state taxes. Our effective tax rate for the three months ended December 31, 2016 differed from the Federal statutory tax rate of 35% primarily due to Federal research and development credits, domestic manufacturing deduction, excess tax benefits related to stock compensation, and state taxes.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Within the calculation of our annual effective tax rate we have used assumptions and estimates that may change as a result of future guidance and interpretation from the Internal Revenue Service, the SEC, and the FASB. The Tax Act contains many significant changes to the U.S. tax laws, the consequences of which have not yet been fully determined. Changes in corporate tax rates, the net deferred tax assets and/or liabilities relating to our U.S. operations, the taxation of foreign earnings, and the deductibility of expenses contained in the Tax Act could have a material impact on the Company’s future U.S. tax expense.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Six months ended December 31, 2017 compared to the six months ended December 31, 2016</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As a %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w w:val="98"/>
              </w:rPr>
              <w:t>December 31, 2017</w:t>
            </w:r>
          </w:p>
        </w:tc>
        <w:tc>
          <w:tcPr>
            <w:tcW w:w="10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Total Net</w:t>
            </w:r>
          </w:p>
        </w:tc>
        <w:tc>
          <w:tcPr>
            <w:tcW w:w="80" w:type="dxa"/>
            <w:vAlign w:val="bottom"/>
          </w:tcPr>
          <w:p>
            <w:pPr>
              <w:spacing w:after="0"/>
              <w:rPr>
                <w:sz w:val="12"/>
                <w:szCs w:val="12"/>
                <w:color w:val="auto"/>
              </w:rPr>
            </w:pPr>
          </w:p>
        </w:tc>
        <w:tc>
          <w:tcPr>
            <w:tcW w:w="14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7"/>
            <w:vMerge w:val="continue"/>
          </w:tcPr>
          <w:p>
            <w:pPr>
              <w:spacing w:after="0"/>
              <w:rPr>
                <w:sz w:val="13"/>
                <w:szCs w:val="13"/>
                <w:color w:val="auto"/>
              </w:rPr>
            </w:pPr>
          </w:p>
        </w:tc>
        <w:tc>
          <w:tcPr>
            <w:tcW w:w="108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w w:val="86"/>
              </w:rPr>
              <w:t>223,981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34"/>
              <w:spacing w:after="0"/>
              <w:rPr>
                <w:sz w:val="20"/>
                <w:szCs w:val="20"/>
                <w:color w:val="auto"/>
              </w:rPr>
            </w:pPr>
            <w:r>
              <w:rPr>
                <w:rFonts w:ascii="Arial" w:cs="Arial" w:eastAsia="Arial" w:hAnsi="Arial"/>
                <w:sz w:val="18"/>
                <w:szCs w:val="18"/>
                <w:color w:val="auto"/>
                <w:w w:val="86"/>
              </w:rPr>
              <w:t>119,147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98,830</w:t>
            </w:r>
          </w:p>
        </w:tc>
        <w:tc>
          <w:tcPr>
            <w:tcW w:w="100" w:type="dxa"/>
            <w:vAlign w:val="bottom"/>
          </w:tcPr>
          <w:p>
            <w:pPr>
              <w:spacing w:after="0"/>
              <w:rPr>
                <w:sz w:val="21"/>
                <w:szCs w:val="21"/>
                <w:color w:val="auto"/>
              </w:rPr>
            </w:pP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w w:val="86"/>
              </w:rPr>
              <w:t>104,834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46.8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41,790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19.9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ind w:right="34"/>
              <w:spacing w:after="0"/>
              <w:rPr>
                <w:sz w:val="20"/>
                <w:szCs w:val="20"/>
                <w:color w:val="auto"/>
              </w:rPr>
            </w:pPr>
            <w:r>
              <w:rPr>
                <w:rFonts w:ascii="Arial" w:cs="Arial" w:eastAsia="Arial" w:hAnsi="Arial"/>
                <w:sz w:val="18"/>
                <w:szCs w:val="18"/>
                <w:color w:val="auto"/>
              </w:rPr>
              <w:t>28,929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25,994</w:t>
            </w:r>
          </w:p>
        </w:tc>
        <w:tc>
          <w:tcPr>
            <w:tcW w:w="100" w:type="dxa"/>
            <w:vAlign w:val="bottom"/>
          </w:tcPr>
          <w:p>
            <w:pPr>
              <w:spacing w:after="0"/>
              <w:rPr>
                <w:sz w:val="21"/>
                <w:szCs w:val="21"/>
                <w:color w:val="auto"/>
              </w:rPr>
            </w:pP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11,464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408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141"/>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2"/>
              </w:rPr>
              <w:t>Acquisition costs and other related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8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4"/>
          </w:tcPr>
          <w:p>
            <w:pPr>
              <w:jc w:val="right"/>
              <w:ind w:right="34"/>
              <w:spacing w:after="0"/>
              <w:rPr>
                <w:sz w:val="20"/>
                <w:szCs w:val="20"/>
                <w:color w:val="auto"/>
              </w:rPr>
            </w:pPr>
            <w:r>
              <w:rPr>
                <w:rFonts w:ascii="Arial" w:cs="Arial" w:eastAsia="Arial" w:hAnsi="Arial"/>
                <w:sz w:val="18"/>
                <w:szCs w:val="18"/>
                <w:color w:val="auto"/>
              </w:rPr>
              <w:t>83,575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41"/>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74,133</w:t>
            </w:r>
          </w:p>
        </w:tc>
        <w:tc>
          <w:tcPr>
            <w:tcW w:w="100" w:type="dxa"/>
            <w:vAlign w:val="bottom"/>
          </w:tcPr>
          <w:p>
            <w:pPr>
              <w:spacing w:after="0"/>
              <w:rPr>
                <w:sz w:val="20"/>
                <w:szCs w:val="20"/>
                <w:color w:val="auto"/>
              </w:rPr>
            </w:pPr>
          </w:p>
        </w:tc>
        <w:tc>
          <w:tcPr>
            <w:tcW w:w="1420" w:type="dxa"/>
            <w:vAlign w:val="bottom"/>
            <w:tcBorders>
              <w:top w:val="single" w:sz="8" w:color="auto"/>
            </w:tcBorders>
            <w:gridSpan w:val="2"/>
          </w:tcPr>
          <w:p>
            <w:pPr>
              <w:jc w:val="right"/>
              <w:ind w:right="104"/>
              <w:spacing w:after="0"/>
              <w:rPr>
                <w:sz w:val="20"/>
                <w:szCs w:val="20"/>
                <w:color w:val="auto"/>
              </w:rPr>
            </w:pPr>
            <w:r>
              <w:rPr>
                <w:rFonts w:ascii="Arial" w:cs="Arial" w:eastAsia="Arial" w:hAnsi="Arial"/>
                <w:sz w:val="18"/>
                <w:szCs w:val="18"/>
                <w:color w:val="auto"/>
              </w:rPr>
              <w:t>39.9</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20,040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420" w:type="dxa"/>
            <w:vAlign w:val="bottom"/>
            <w:gridSpan w:val="2"/>
          </w:tcPr>
          <w:p>
            <w:pPr>
              <w:jc w:val="right"/>
              <w:ind w:right="104"/>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27,086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auto"/>
                <w:w w:val="95"/>
              </w:rPr>
              <w:t>As a %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Total Net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Organic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198,456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181,707</w:t>
            </w:r>
          </w:p>
        </w:tc>
        <w:tc>
          <w:tcPr>
            <w:tcW w:w="13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Acquired revenue</w:t>
            </w: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25,525</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3,956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shd w:val="clear" w:color="auto" w:fill="CCEEFF"/>
          </w:tcPr>
          <w:p>
            <w:pPr>
              <w:spacing w:after="0"/>
              <w:rPr>
                <w:sz w:val="22"/>
                <w:szCs w:val="22"/>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223,981</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185,663</w:t>
            </w:r>
          </w:p>
        </w:tc>
        <w:tc>
          <w:tcPr>
            <w:tcW w:w="1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Total revenues increased $38.3 million, or 21%, to $224.0 million during the six months ended December 31, 2017 as compared to the same period in fiscal 2017. The increase in total revenues is primarily attributed to $21.6 million of higher Acquired revenue during the six months ended December 31, 2017. The $16.7 million organic revenue increase was primarily attributed to the SEWIP, F-16 SABR and PGK programs, partially offset by lower revenues from a large ground based radar program and the Digital Electronic Warfare System ("DEWS") and PAC 3 programs.</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revenues, which consist of foreign military sales through the U.S. government, sales to prime defense contractor customers where the end user is known to be outside of the U.S., and direct sales to non-U.S. based customers, increased $15.2 million to $44.3 million during the six months ended December 31, 2017, compared to $29.1 million in the same period in the prior fiscal year. International revenues represented 20% and 16% of total revenues during the six months ended December 31, 2017 and 2016, respectively.</w:t>
      </w:r>
    </w:p>
    <w:p>
      <w:pPr>
        <w:spacing w:after="0" w:line="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Revenues from C4I, EW, and Other Sensor and Effector increased by $15.4 million, $15.1 million, and $11.4 million, respectively, during the three months ended December 31, 2017 as compared to the same period in fiscal 2017. The C4I increase was driven primarily by the F-35 program, while the increase in EW was driven by the SEWIP program. The increase in Other Sensor and Effector was primarily due to higher revenue from the PGK program. Additionally, revenues from components and modules &amp; sub-assemblies increased by $28.2 million and $14.3 million, respectively, offset by a $4.2 million reduction to integrated subsystems during the six months ended December 31, 2017 as compared to the same period in fiscal 2017. The components increase was driven primarily by the UAV T-Series and Falcon Edge programs, while the increase in modules and sub-assemblies was driven by the SEWIP program. The decrease in integrated subsystems was primarily due to lower revenues from a large ground based radar program.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46.8% for the six months ended December 31, 2017 and 2016. The gross margin during the six months ended December 31, 2017 was impacted by lower margin product mix, which was offset by lower inventory step-up amortization of $2.3 million related to our acquired businesses compared to the same period in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increased $4.9 million, or 13%, to $41.8 million during the six months ended December 31, 2017, compared to $36.9 million in the same period in fiscal 2017. The increase was primarily due to higher compensation expense due to increased headcount from the acquisitions of Delta and RTL, as well as the full period impact of CES. Selling, general and administrative expenses decreased as a percentage of revenues to 18.7% during the six months ended December 31, 2017 from 19.9% during the same period in fiscal 2017. The decrease was primarily due to higher revenues in the six months ended December 31, 2017, as compared to the same period in fiscal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Research and development expenses increased $2.9 million, or 11%, to $28.9 million during the six months ended December 31, 2017, compared to $26.0 million during the same period in fiscal 2017. The increase was primarily due to increased headcount from the acquisitions of Delta and RTL, in addition to the full period impact of the CES acquisition, driving higher compensation related costs in addition to increased prototype expenditures.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Restructuring and other charges were $0.4 million for the six months ended December 31, 2017 and 2016. Restructuring and other charges are typically related to acquisitions and organizational redesign programs initiated as part of discrete post-acquisition integration activities.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incurred $1.0 million of acquisition costs and other related expenses during the six months ended December 31, 2017, compared to $1.4 million during the same period in fiscal 2017. The acquisition costs and other related expenses we incurred during the six months ended December 31, 2017 relate to the acquisitions of RTL and Themis, while fiscal 2017 expenses related to the acquisition of CES. We expect to incur acquisition costs and other related expenses periodically in the future as we continue to seek acquisition opportunities to expand our capabilities and new end markets within the sensor processing chain.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$0.1 million of interest expense during the six months ended December 31, 2017 compared to $3.7 million in the same period in fiscal 2017. The decrease was driven by $2.8 million cash interest expense and $0.9 million of amortization of debt issuance costs on the term loan, which was repaid during the fourth quarter of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(expense) income, net was $(1.1) million during the six months ended December 31, 2017, compared to $0.5 million during the same period in fiscal 2017. The decrease was primarily due to $1.2 million in financing and registration fees during the six months ended December 31, 2017 compared to $0.2 million for the same period in fiscal 2017. The six months ended December 31, 2016 included $0.6 million related to the amortization of the gain on the sale leaseback of our former corporate headquarters, partially offset by $0.2 million of foreign exchange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December 22, 2017, the Tax Act was enacted by the U.S. government. The Tax Act has impacted the statutory Federal tax rate that the Company will use going forward, which has been reduced to 21% from 35%. As the Company has a June 30 fiscal year-end, the lower corporate income tax rate will be phased in, resulting in a U.S. statutory Federal rate of approximately 28% for our fiscal year ending June 30, 2018, and 21% for subsequent fiscal years. In addition to the reduced corporate rate we also expect to benefit from the immediate deduction for certain new investments. The Tax Act also includes items that we expect will increase our tax expense including, but not limited to, the elimination of the domestic manufacturing deduction and increased limitations on executive compensation. In addition, the actual effective tax rate may be materially different than the statutory Federal tax rate (including being higher) based on the availability and impact of various other adjustments including but not limited to state taxes, Federal research and development credits, discrete tax benefits related to stock compensation, and the inclusion or exclusion of various items in taxable income which may differ from GAAP income.</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recorded an income tax benefit of $7.0 million during the six months ended December 31, 2017 as compared to an income tax provision of $0.5 million for the same period in fiscal 2017. During the six months ended December 31, 2017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2016, we recognized discrete tax benefits of $7.6 million and $2.8 million, respectively, related to excess tax benefits on stock-based compensation. The discrete tax benefit for the six months ended December 31, 2017 included the enactment of the Tax Act which revalued the excess tax benefit previously recorded in the three months ended September 30, 2017. The benefit is the result of the increase in value from the stock award between the grant date and the vest date. The six months ended December 31, 2017 also included a discrete tax benefit of $3.7 million derived from new information obtained about net operating loss carry-forwards of the entities acquired from Microsemi Corporation (the “Carve-Out Business”) in May 2016. The discrete items disclosed above for the six months ended December 31, 2017 included the effect of the Tax Act.</w:t>
      </w:r>
    </w:p>
    <w:p>
      <w:pPr>
        <w:spacing w:after="0" w:line="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effective tax rate for the six months ended December 31, 2017 differed from the Federal statutory tax rate of 28% primarily due to the one-time impact of the Tax Act, Federal research and development credits, domestic manufacturing deduction, excess tax benefits related to stock compensation, and state taxes. Our effective tax rate for the six months ended December 31, 2016 differed from the Federal statutory tax rate of 35% primarily due to Federal research and development credits, domestic manufacturing deduction, excess tax benefits related to stock compensation, and state taxes.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Within the calculation of our annual effective tax rate we have used assumptions and estimates that may change as a result of future guidance and interpretation from the Internal Revenue Service, the SEC, and the FASB. The Tax Act contains many significant changes to the U.S. tax laws, the consequences of which have not yet been fully determined. Changes in corporate tax rates, the net deferred tax assets and/or liabilities relating to our U.S. operations, the taxation of foreign earnings, and the deductibility of expenses contained in the Tax Act could have a material impact on the Company’s future U.S.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primary sources of liquidity come from existing cash and cash generated from operations, including our accounts receivable factoring program, our revolving credit facility and our ability to raise capital under our universal shelf registration statement. Our near-term fixed commitments for cash expenditures consist primarily of payments under operating leases and inventory purchase commitments. We do not currently have any material commitments for capital expenditures.</w:t>
      </w:r>
    </w:p>
    <w:p>
      <w:pPr>
        <w:spacing w:after="0" w:line="7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and cash equivalents, our available revolving credit facility, cash generated from operations, and our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August 28, 2017, we filed a shelf registration statement on Form S-3ASR with the SEC. The shelf registration statement, which was effective upon filing with the SEC, registered each of the following securities: debt securities, preferred stock, common stock, warrants and units. We intend to use the proceeds from financings using the shelf registration statement for general corporate purposes, which may include the following:</w:t>
      </w:r>
    </w:p>
    <w:p>
      <w:pPr>
        <w:spacing w:after="0" w:line="57" w:lineRule="exact"/>
        <w:rPr>
          <w:sz w:val="20"/>
          <w:szCs w:val="20"/>
          <w:color w:val="auto"/>
        </w:rPr>
      </w:pPr>
    </w:p>
    <w:p>
      <w:pPr>
        <w:ind w:left="980" w:hanging="56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jc w:val="both"/>
        <w:ind w:left="60" w:firstLine="432"/>
        <w:spacing w:after="0" w:line="272" w:lineRule="auto"/>
        <w:rPr>
          <w:sz w:val="20"/>
          <w:szCs w:val="20"/>
          <w:color w:val="auto"/>
        </w:rPr>
      </w:pPr>
      <w:r>
        <w:rPr>
          <w:rFonts w:ascii="Arial" w:cs="Arial" w:eastAsia="Arial" w:hAnsi="Arial"/>
          <w:sz w:val="17"/>
          <w:szCs w:val="17"/>
          <w:color w:val="auto"/>
        </w:rPr>
        <w:t>We have an unlimited amount available under the shelf registration statement. Additionally, as part of the shelf registration statement, we have entered into an equity distribution agreement which allows us to sell an aggregate of up to $200.0 million of our common stock from time to time through our agents. The actual dollar amount and number of shares of common stock we sell pursuant to the equity distribution agreement will be dependent on, among other things, market conditions and our fund raising requirements. The agents may sell the common stock by any method deemed to be an “at the market offering” as defined in Rule 415 of the Securities Act of 1933, as amended, including without limitation sales made directly on NASDAQ, on any other existing trading market for the common stock or to or through a market maker. In addition, our common stock may be offered and sold by such other methods, including privately negotiated transactions, as we and the agents may agree.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2017, we amended our revolving credit facility ("the Revolver"), increasing and extending the facility into a $400.0 million, 5-year revolving credit line expiring in June 2022. In connection with the amendment, we repaid the remaining outstanding principal of and interest on our term loan using cash on hand. The Revolver had an outstanding balance of $0 at December 31, 2017, other than for outstanding letters of credit. See Note I in the accompanying consolidated financial statements for further discussion of the Revolver.</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 2018, upon the terms and subject to the conditions set forth in a Merger Agreement, we completed the acquisition of Ceres, the holding company that owns Themis. Under the terms of the Merger Agreement, we paid an aggregate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purchase price of $180.0 million, plus an estimated adjustment for acquired working capital and cash for the Acquired Company, subject to post-closing adjustments based on a determination of closing net working capital, transaction expenses and net debt (all as defined in the Merger Agreement). To facilitate the completion of the Merger Agreement, we drew $195.0 million from the Revolver, with the higher amount reflecting an estimated adjustment for working capital, including cash, expected to be received with the Acquired Company at closing.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2"/>
              </w:rPr>
              <w:t>As of and For the Six</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7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16,807</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24,521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(7,327)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(35,506)</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32,035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46,185</w:t>
            </w: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cash and cash equivalents decreased by $9.6 million from June 30, 2017 to December 31, 2017, primarily as the result of $14.9 million used in the retirement of common stock used to settle individual employees' tax liabilities associated with vesting of restricted stock awards, $7.6 million invested in purchases of property and equipment, and $5.8 million used in acquisition activities. These decreases were partially offset by $16.8 million provided by operating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six months ended December 31, 2017, we generated $16.8 million in cash from operating activities, a decrease of $7.7 million when compared to the same period in fiscal 2017. The decrease in cash generated by operating activities was primarily a result of $18.6 million higher inventory purchases, $11.6 million decrease in income taxes payable, and $10.4 million less collections from accounts receivables. The decrease in cash generated by operating activities was partially offset by generating$18.1 million of higher net income and $13.5 million more cash from the timing of payables. Our ability to generate cash from operations in future periods will depend in large part on profitability, cash flows attributable to factoring,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December 31, 2017, we used $13.8 million in investing activities compared to $52.6 million during the same period in fiscal 2017. The decrease was primarily driven by $5.8 million used in the acquisition of RTL for the six months ended December 31, 2017 compared to $38.8 million used in the acquisition of CES in the same period of fiscal 2017. The decrease was also driven by $6.2 million in lower purchases of property and equipment during fiscal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December 31, 2017, we used $12.9 million in financing activities compared to $7.3 million during the same period in fiscal 2017. The $5.5 million increase in cash used by financing activities was primarily due to $14.9 million used in the retirement of common stock used to settle employees’ tax liabilities associated with vesting of restricted stock awards as compared to $7.6 million used in the same period of fiscal 2017, primarily driven by the increase in our stock price as of the vesting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12,450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41,513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120,916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57,528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$50.7 million at December 31, 2017.</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8" w:name="page29"/>
    <w:bookmarkEnd w:id="28"/>
    <w:p>
      <w:pPr>
        <w:jc w:val="both"/>
        <w:ind w:firstLine="432"/>
        <w:spacing w:after="0" w:line="264" w:lineRule="auto"/>
        <w:rPr>
          <w:sz w:val="20"/>
          <w:szCs w:val="20"/>
          <w:color w:val="auto"/>
        </w:rPr>
      </w:pPr>
      <w:r>
        <w:rPr>
          <w:rFonts w:ascii="Arial" w:cs="Arial" w:eastAsia="Arial" w:hAnsi="Arial"/>
          <w:sz w:val="18"/>
          <w:szCs w:val="18"/>
          <w:color w:val="auto"/>
        </w:rPr>
        <w:t>We have a liability at December 31, 2017 of $0.8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employees’ tax liabilities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certain important measures that are not calculated according to U.S. generally accepted accounting principles (“GAAP”), including adjusted EBITDA, adjusted income, adjusted earnings per share ("adjusted EPS") and free cash flow.</w:t>
      </w:r>
    </w:p>
    <w:p>
      <w:pPr>
        <w:spacing w:after="0" w:line="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Adjusted EBITDA is defined as net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and other non-cash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51"/>
              <w:spacing w:after="0"/>
              <w:rPr>
                <w:sz w:val="20"/>
                <w:szCs w:val="20"/>
                <w:color w:val="auto"/>
              </w:rPr>
            </w:pPr>
            <w:r>
              <w:rPr>
                <w:rFonts w:ascii="Arial" w:cs="Arial" w:eastAsia="Arial" w:hAnsi="Arial"/>
                <w:sz w:val="14"/>
                <w:szCs w:val="14"/>
                <w:b w:val="1"/>
                <w:bCs w:val="1"/>
                <w:color w:val="auto"/>
                <w:w w:val="89"/>
              </w:rPr>
              <w:t>2016</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9,133</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27,086</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9,023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11,464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9,490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and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Fair value adjustments from purchase accounting (2)</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Litigation and settlement expense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Stock-based and other non-cash compensation expense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9,637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7,725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51,925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firstLine="8"/>
        <w:spacing w:after="0" w:line="255"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and six months ended December 31, 2017 relate to CES and Delta inventory step-up amortization. Fair value adjustments from purchase accounting for the three and six months ended December 31, 2016 relate to the Carve-Out Business and CES inventory step-up amortization.</w:t>
      </w:r>
    </w:p>
    <w:p>
      <w:pPr>
        <w:spacing w:after="0" w:line="8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8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0" w:name="page31"/>
    <w:bookmarkEnd w:id="30"/>
    <w:p>
      <w:pPr>
        <w:ind w:right="20" w:firstLine="432"/>
        <w:spacing w:after="0" w:line="277" w:lineRule="auto"/>
        <w:rPr>
          <w:sz w:val="20"/>
          <w:szCs w:val="20"/>
          <w:color w:val="auto"/>
        </w:rPr>
      </w:pPr>
      <w:r>
        <w:rPr>
          <w:rFonts w:ascii="Arial" w:cs="Arial" w:eastAsia="Arial" w:hAnsi="Arial"/>
          <w:sz w:val="18"/>
          <w:szCs w:val="18"/>
          <w:color w:val="auto"/>
        </w:rPr>
        <w:t>The following table reconciles net income and diluted earnings per share, the most directly comparable GAAP measures, to adjusted income and adjusted EPS: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5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gridSpan w:val="3"/>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gridSpan w:val="3"/>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Net income and 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9,133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0.19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5,204</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Restructuring and other charges (1)</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Acquisition and financing costs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Stock-based and other non-cash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Impact to income taxes (3)</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(4,439)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income and adjusted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11,897</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47,447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39,985</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firstLine="8"/>
        <w:spacing w:after="0" w:line="241" w:lineRule="auto"/>
        <w:tabs>
          <w:tab w:leader="none" w:pos="208"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December 31, 2017 relate to CES inventory step-up amortization. Fair value adjustments from purchase accounting for the three months ended December 31, 2016 relate to the Carve-Out Business and CES inventory step-up amortization.</w:t>
      </w:r>
    </w:p>
    <w:p>
      <w:pPr>
        <w:ind w:firstLine="8"/>
        <w:spacing w:after="0" w:line="293" w:lineRule="auto"/>
        <w:tabs>
          <w:tab w:leader="none" w:pos="206"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4640" w:type="dxa"/>
            <w:vAlign w:val="bottom"/>
            <w:tcBorders>
              <w:bottom w:val="single" w:sz="8" w:color="CCEEFF"/>
            </w:tcBorders>
            <w:gridSpan w:val="2"/>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bottom w:val="single" w:sz="8" w:color="auto"/>
            </w:tcBorders>
            <w:shd w:val="clear" w:color="auto" w:fill="CCEEFF"/>
          </w:tcPr>
          <w:p>
            <w:pPr>
              <w:spacing w:after="0"/>
              <w:rPr>
                <w:sz w:val="23"/>
                <w:szCs w:val="23"/>
                <w:color w:val="auto"/>
              </w:rPr>
            </w:pPr>
          </w:p>
        </w:tc>
      </w:tr>
      <w:tr>
        <w:trPr>
          <w:trHeight w:val="23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Net income and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27,086</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0.57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9,023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0.23</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Restructuring and other charges (1)</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Acquisition and financing costs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and other non-cash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Impact to income taxes (3)</w:t>
            </w:r>
          </w:p>
        </w:tc>
        <w:tc>
          <w:tcPr>
            <w:tcW w:w="2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Adjusted income and adjusted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30,842</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6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39,920</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firstLine="8"/>
        <w:spacing w:after="0" w:line="250" w:lineRule="auto"/>
        <w:tabs>
          <w:tab w:leader="none" w:pos="225"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firstLine="8"/>
        <w:spacing w:after="0" w:line="241" w:lineRule="auto"/>
        <w:tabs>
          <w:tab w:leader="none" w:pos="215"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six months ended December 31, 2017 relate to CES and Delta inventory step-up amortization. Fair value adjustments from purchase accounting for the six months ended December 31, 2016 relate to the Carve-Out Business and CES inventory step-up amortization.</w:t>
      </w:r>
    </w:p>
    <w:p>
      <w:pPr>
        <w:ind w:firstLine="8"/>
        <w:spacing w:after="0" w:line="293" w:lineRule="auto"/>
        <w:tabs>
          <w:tab w:leader="none" w:pos="20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required to support ongoing business operations and long-term value creation. We believe that trends in our free cash flow can be valuable indicators of our operating performance and liquidity.</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4"/>
              <w:spacing w:after="0"/>
              <w:rPr>
                <w:sz w:val="20"/>
                <w:szCs w:val="20"/>
                <w:color w:val="auto"/>
              </w:rPr>
            </w:pPr>
            <w:r>
              <w:rPr>
                <w:rFonts w:ascii="Arial" w:cs="Arial" w:eastAsia="Arial" w:hAnsi="Arial"/>
                <w:sz w:val="14"/>
                <w:szCs w:val="14"/>
                <w:b w:val="1"/>
                <w:bCs w:val="1"/>
                <w:color w:val="auto"/>
                <w:w w:val="96"/>
              </w:rPr>
              <w:t>2016</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8,779</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14,238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16,807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24,521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10,768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the Company on July 1, 2018, and we do not plan to early adopt this ASU. The standard permits the use of either the retrospective or cumulative effect transition method. We currently intend to use the retrospective transition method upon adoption of the standard. We have made significant investments to date in our data reporting infrastructure, and continue to enhance this infrastructure in order to support the reporting and disclosure requirements of the new standard. In addition, we have extensively reviewed our current accounting policies and practices to evaluate the future impact that adoption of the standard will have on our consolidated financial statements and notes. Based on our review procedures to date, the impact of adopting the new standard on our total sales and operating income is not expected to be material. The largest impact as a result of adoption will be to our disclosures relating to revenues, which will significantly expand under the new standard.</w:t>
      </w:r>
    </w:p>
    <w:p>
      <w:pPr>
        <w:spacing w:after="0" w:line="5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 amendment of the FASB Accounting Standards Codification. This ASU requires lessees to recognize a right-of-use asset and lease liability for most lease arrangements. The new standard is effective for the Company on July 1, 2019. The standard mandates a modified retrospective transition method for all entities and early adoption is permitted. We are currently evaluating our population of leases to determine the effect that ASU 2016-02 will have on our consolidated financial statements and related disclosures.</w:t>
      </w:r>
    </w:p>
    <w:p>
      <w:pPr>
        <w:spacing w:after="0" w:line="6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5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2" w:name="page33"/>
    <w:bookmarkEnd w:id="32"/>
    <w:p>
      <w:pPr>
        <w:jc w:val="both"/>
        <w:ind w:firstLine="432"/>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an amendment of the FASB Accounting Standards Codification.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We do not expect this guidance to have a material impact to our consolidated financial statements.</w:t>
      </w:r>
    </w:p>
    <w:p>
      <w:pPr>
        <w:spacing w:after="0" w:line="5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Retirement Benefits (Topic 715): Improving the Presentation of Net Periodic</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Cost and Net Periodic Postretirement Benefit Cost</w:t>
      </w:r>
      <w:r>
        <w:rPr>
          <w:rFonts w:ascii="Arial" w:cs="Arial" w:eastAsia="Arial" w:hAnsi="Arial"/>
          <w:sz w:val="17"/>
          <w:szCs w:val="17"/>
          <w:color w:val="auto"/>
        </w:rPr>
        <w:t>, an amendment of the FASB Accounting Standards Codification. This ASU requires employers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 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We are evaluating the effect that ASU 2017-07 will have on our consolidated financial statements and related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July 1, 2017, we adopted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Such adoption has not and will not have any impact to our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2017 to December 31, 2017.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2017.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December 31, 2017 that has materially affected, or is reasonably likely to materially affect, our internal control over financial reporting. However, management is in the process of integrating the recently acquired Delta into our overall internal control over financial reporting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2017. There have been no material changes from the factors disclosed in our 2017 Annual Report on Form 10-K filed on August 18, 2017,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3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the Company’s Chief Executive Officer pursuant to Section 302 of the Sarbanes-Oxley Act of 2002</w:t>
              </w:r>
            </w:hyperlink>
          </w:p>
        </w:tc>
        <w:tc>
          <w:tcPr>
            <w:tcW w:w="680" w:type="dxa"/>
            <w:vAlign w:val="bottom"/>
          </w:tcPr>
          <w:p>
            <w:pPr>
              <w:spacing w:after="0"/>
              <w:rPr>
                <w:sz w:val="17"/>
                <w:szCs w:val="17"/>
                <w:color w:val="auto"/>
              </w:rPr>
            </w:pPr>
          </w:p>
        </w:tc>
      </w:tr>
      <w:tr>
        <w:trPr>
          <w:trHeight w:val="574"/>
        </w:trPr>
        <w:tc>
          <w:tcPr>
            <w:tcW w:w="320" w:type="dxa"/>
            <w:vAlign w:val="bottom"/>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the Company’s Chief Financial Officer pursuant to Section 302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9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574"/>
        </w:trPr>
        <w:tc>
          <w:tcPr>
            <w:tcW w:w="228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00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the Company’s Chief Executive Officer and Chief Financial Officer pursuant to Section 906 of the Sarbanes-</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60" w:type="dxa"/>
            <w:vAlign w:val="bottom"/>
          </w:tcPr>
          <w:p>
            <w:pPr>
              <w:spacing w:after="0"/>
              <w:rPr>
                <w:sz w:val="17"/>
                <w:szCs w:val="17"/>
                <w:color w:val="auto"/>
              </w:rPr>
            </w:pPr>
          </w:p>
        </w:tc>
        <w:tc>
          <w:tcPr>
            <w:tcW w:w="90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Oxley Act of 2002</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r>
      <w:tr>
        <w:trPr>
          <w:trHeight w:val="600"/>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2017</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Andover, Massachusetts, on February 2, 2018.</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20"/>
          </w:cols>
          <w:pgMar w:left="240" w:top="580" w:right="9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December 31, 2017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2018</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2"/>
    </w:lvl>
  </w:abstractNum>
  <w:abstractNum w:abstractNumId="4">
    <w:nsid w:val="4E6AFB66"/>
    <w:multiLevelType w:val="hybridMultilevel"/>
    <w:lvl w:ilvl="0">
      <w:lvlJc w:val="left"/>
      <w:lvlText w:val="%1."/>
      <w:numFmt w:val="upperLetter"/>
      <w:start w:val="3"/>
    </w:lvl>
  </w:abstractNum>
  <w:abstractNum w:abstractNumId="5">
    <w:nsid w:val="25E45D32"/>
    <w:multiLevelType w:val="hybridMultilevel"/>
    <w:lvl w:ilvl="0">
      <w:lvlJc w:val="left"/>
      <w:lvlText w:val="%1."/>
      <w:numFmt w:val="upperLetter"/>
      <w:start w:val="4"/>
    </w:lvl>
  </w:abstractNum>
  <w:abstractNum w:abstractNumId="6">
    <w:nsid w:val="519B500D"/>
    <w:multiLevelType w:val="hybridMultilevel"/>
    <w:lvl w:ilvl="0">
      <w:lvlJc w:val="left"/>
      <w:lvlText w:val="%1."/>
      <w:numFmt w:val="upperLetter"/>
      <w:start w:val="5"/>
    </w:lvl>
  </w:abstractNum>
  <w:abstractNum w:abstractNumId="7">
    <w:nsid w:val="431BD7B7"/>
    <w:multiLevelType w:val="hybridMultilevel"/>
    <w:lvl w:ilvl="0">
      <w:lvlJc w:val="left"/>
      <w:lvlText w:val="%1."/>
      <w:numFmt w:val="upperLetter"/>
      <w:start w:val="6"/>
    </w:lvl>
  </w:abstractNum>
  <w:abstractNum w:abstractNumId="8">
    <w:nsid w:val="3F2DBA31"/>
    <w:multiLevelType w:val="hybridMultilevel"/>
    <w:lvl w:ilvl="0">
      <w:lvlJc w:val="left"/>
      <w:lvlText w:val="%1."/>
      <w:numFmt w:val="upperLetter"/>
      <w:start w:val="7"/>
    </w:lvl>
  </w:abstractNum>
  <w:abstractNum w:abstractNumId="9">
    <w:nsid w:val="7C83E458"/>
    <w:multiLevelType w:val="hybridMultilevel"/>
    <w:lvl w:ilvl="0">
      <w:lvlJc w:val="left"/>
      <w:lvlText w:val="%1."/>
      <w:numFmt w:val="upperLetter"/>
      <w:start w:val="8"/>
    </w:lvl>
  </w:abstractNum>
  <w:abstractNum w:abstractNumId="10">
    <w:nsid w:val="257130A3"/>
    <w:multiLevelType w:val="hybridMultilevel"/>
    <w:lvl w:ilvl="0">
      <w:lvlJc w:val="left"/>
      <w:lvlText w:val="%1."/>
      <w:numFmt w:val="upperLetter"/>
      <w:start w:val="9"/>
    </w:lvl>
  </w:abstractNum>
  <w:abstractNum w:abstractNumId="11">
    <w:nsid w:val="62BBD95A"/>
    <w:multiLevelType w:val="hybridMultilevel"/>
    <w:lvl w:ilvl="0">
      <w:lvlJc w:val="left"/>
      <w:lvlText w:val="%1."/>
      <w:numFmt w:val="upperLetter"/>
      <w:start w:val="10"/>
    </w:lvl>
  </w:abstractNum>
  <w:abstractNum w:abstractNumId="12">
    <w:nsid w:val="436C6125"/>
    <w:multiLevelType w:val="hybridMultilevel"/>
    <w:lvl w:ilvl="0">
      <w:lvlJc w:val="left"/>
      <w:lvlText w:val="%1."/>
      <w:numFmt w:val="upperLetter"/>
      <w:start w:val="11"/>
    </w:lvl>
  </w:abstractNum>
  <w:abstractNum w:abstractNumId="13">
    <w:nsid w:val="628C895D"/>
    <w:multiLevelType w:val="hybridMultilevel"/>
    <w:lvl w:ilvl="0">
      <w:lvlJc w:val="left"/>
      <w:lvlText w:val="%1."/>
      <w:numFmt w:val="upperLetter"/>
      <w:start w:val="1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upperLetter"/>
      <w:start w:val="13"/>
    </w:lvl>
  </w:abstractNum>
  <w:abstractNum w:abstractNumId="20">
    <w:nsid w:val="8EDBDAB"/>
    <w:multiLevelType w:val="hybridMultilevel"/>
    <w:lvl w:ilvl="0">
      <w:lvlJc w:val="left"/>
      <w:lvlText w:val="%1."/>
      <w:numFmt w:val="upperLetter"/>
      <w:start w:val="14"/>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2019-12-29T01:42:09Z</dcterms:created>
  <dcterms:modified xsi:type="dcterms:W3CDTF">2019-12-29T01:42:09Z</dcterms:modified>
</cp:coreProperties>
</file>