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471805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jc w:val="center"/>
        <w:spacing w:after="0"/>
        <w:rPr>
          <w:sz w:val="20"/>
          <w:szCs w:val="20"/>
          <w:color w:val="auto"/>
        </w:rPr>
      </w:pPr>
      <w:r>
        <w:rPr>
          <w:rFonts w:ascii="Times New Roman" w:cs="Times New Roman" w:eastAsia="Times New Roman" w:hAnsi="Times New Roman"/>
          <w:sz w:val="10"/>
          <w:szCs w:val="10"/>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Mercury Systems,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r>
        <w:rPr>
          <w:rFonts w:ascii="Times New Roman" w:cs="Times New Roman" w:eastAsia="Times New Roman" w:hAnsi="Times New Roman"/>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2640" w:type="dxa"/>
            <w:vAlign w:val="bottom"/>
          </w:tcPr>
          <w:p>
            <w:pPr>
              <w:jc w:val="center"/>
              <w:ind w:left="917"/>
              <w:spacing w:after="0"/>
              <w:rPr>
                <w:sz w:val="20"/>
                <w:szCs w:val="20"/>
                <w:color w:val="auto"/>
              </w:rPr>
            </w:pPr>
            <w:r>
              <w:rPr>
                <w:rFonts w:ascii="Times New Roman" w:cs="Times New Roman" w:eastAsia="Times New Roman" w:hAnsi="Times New Roman"/>
                <w:sz w:val="10"/>
                <w:szCs w:val="10"/>
                <w:b w:val="1"/>
                <w:bCs w:val="1"/>
                <w:color w:val="auto"/>
                <w:w w:val="97"/>
              </w:rPr>
              <w:t>Massachusetts</w:t>
            </w:r>
          </w:p>
        </w:tc>
        <w:tc>
          <w:tcPr>
            <w:tcW w:w="1120" w:type="dxa"/>
            <w:vAlign w:val="bottom"/>
          </w:tcPr>
          <w:p>
            <w:pPr>
              <w:spacing w:after="0"/>
              <w:rPr>
                <w:sz w:val="10"/>
                <w:szCs w:val="10"/>
                <w:color w:val="auto"/>
              </w:rPr>
            </w:pPr>
          </w:p>
        </w:tc>
        <w:tc>
          <w:tcPr>
            <w:tcW w:w="4120" w:type="dxa"/>
            <w:vAlign w:val="bottom"/>
          </w:tcPr>
          <w:p>
            <w:pPr>
              <w:jc w:val="right"/>
              <w:ind w:right="2116"/>
              <w:spacing w:after="0"/>
              <w:rPr>
                <w:sz w:val="20"/>
                <w:szCs w:val="20"/>
                <w:color w:val="auto"/>
              </w:rPr>
            </w:pPr>
            <w:r>
              <w:rPr>
                <w:rFonts w:ascii="Times New Roman" w:cs="Times New Roman" w:eastAsia="Times New Roman" w:hAnsi="Times New Roman"/>
                <w:sz w:val="10"/>
                <w:szCs w:val="10"/>
                <w:b w:val="1"/>
                <w:bCs w:val="1"/>
                <w:color w:val="auto"/>
              </w:rPr>
              <w:t>001-41194</w:t>
            </w:r>
          </w:p>
        </w:tc>
        <w:tc>
          <w:tcPr>
            <w:tcW w:w="3420" w:type="dxa"/>
            <w:vAlign w:val="bottom"/>
          </w:tcPr>
          <w:p>
            <w:pPr>
              <w:jc w:val="center"/>
              <w:ind w:right="1077"/>
              <w:spacing w:after="0"/>
              <w:rPr>
                <w:sz w:val="20"/>
                <w:szCs w:val="20"/>
                <w:color w:val="auto"/>
              </w:rPr>
            </w:pPr>
            <w:r>
              <w:rPr>
                <w:rFonts w:ascii="Times New Roman" w:cs="Times New Roman" w:eastAsia="Times New Roman" w:hAnsi="Times New Roman"/>
                <w:sz w:val="10"/>
                <w:szCs w:val="10"/>
                <w:b w:val="1"/>
                <w:bCs w:val="1"/>
                <w:color w:val="auto"/>
                <w:w w:val="95"/>
              </w:rPr>
              <w:t>04-2741391</w:t>
            </w:r>
          </w:p>
        </w:tc>
      </w:tr>
      <w:tr>
        <w:trPr>
          <w:trHeight w:val="127"/>
        </w:trPr>
        <w:tc>
          <w:tcPr>
            <w:tcW w:w="2640" w:type="dxa"/>
            <w:vAlign w:val="bottom"/>
          </w:tcPr>
          <w:p>
            <w:pPr>
              <w:jc w:val="center"/>
              <w:ind w:left="917"/>
              <w:spacing w:after="0"/>
              <w:rPr>
                <w:sz w:val="20"/>
                <w:szCs w:val="20"/>
                <w:color w:val="auto"/>
              </w:rPr>
            </w:pPr>
            <w:r>
              <w:rPr>
                <w:rFonts w:ascii="Times New Roman" w:cs="Times New Roman" w:eastAsia="Times New Roman" w:hAnsi="Times New Roman"/>
                <w:sz w:val="8"/>
                <w:szCs w:val="8"/>
                <w:b w:val="1"/>
                <w:bCs w:val="1"/>
                <w:color w:val="auto"/>
                <w:w w:val="96"/>
              </w:rPr>
              <w:t>(State or Other Jurisdiction</w:t>
            </w:r>
          </w:p>
        </w:tc>
        <w:tc>
          <w:tcPr>
            <w:tcW w:w="1120" w:type="dxa"/>
            <w:vAlign w:val="bottom"/>
          </w:tcPr>
          <w:p>
            <w:pPr>
              <w:spacing w:after="0"/>
              <w:rPr>
                <w:sz w:val="11"/>
                <w:szCs w:val="11"/>
                <w:color w:val="auto"/>
              </w:rPr>
            </w:pPr>
          </w:p>
        </w:tc>
        <w:tc>
          <w:tcPr>
            <w:tcW w:w="4120" w:type="dxa"/>
            <w:vAlign w:val="bottom"/>
          </w:tcPr>
          <w:p>
            <w:pPr>
              <w:jc w:val="center"/>
              <w:ind w:right="536"/>
              <w:spacing w:after="0"/>
              <w:rPr>
                <w:sz w:val="20"/>
                <w:szCs w:val="20"/>
                <w:color w:val="auto"/>
              </w:rPr>
            </w:pPr>
            <w:r>
              <w:rPr>
                <w:rFonts w:ascii="Times New Roman" w:cs="Times New Roman" w:eastAsia="Times New Roman" w:hAnsi="Times New Roman"/>
                <w:sz w:val="8"/>
                <w:szCs w:val="8"/>
                <w:b w:val="1"/>
                <w:bCs w:val="1"/>
                <w:color w:val="auto"/>
                <w:w w:val="96"/>
              </w:rPr>
              <w:t>(Commission File Number)</w:t>
            </w:r>
          </w:p>
        </w:tc>
        <w:tc>
          <w:tcPr>
            <w:tcW w:w="3420" w:type="dxa"/>
            <w:vAlign w:val="bottom"/>
          </w:tcPr>
          <w:p>
            <w:pPr>
              <w:jc w:val="center"/>
              <w:ind w:right="1077"/>
              <w:spacing w:after="0"/>
              <w:rPr>
                <w:sz w:val="20"/>
                <w:szCs w:val="20"/>
                <w:color w:val="auto"/>
              </w:rPr>
            </w:pPr>
            <w:r>
              <w:rPr>
                <w:rFonts w:ascii="Times New Roman" w:cs="Times New Roman" w:eastAsia="Times New Roman" w:hAnsi="Times New Roman"/>
                <w:sz w:val="8"/>
                <w:szCs w:val="8"/>
                <w:b w:val="1"/>
                <w:bCs w:val="1"/>
                <w:color w:val="auto"/>
                <w:w w:val="96"/>
              </w:rPr>
              <w:t>(IRS Employer</w:t>
            </w:r>
          </w:p>
        </w:tc>
      </w:tr>
      <w:tr>
        <w:trPr>
          <w:trHeight w:val="101"/>
        </w:trPr>
        <w:tc>
          <w:tcPr>
            <w:tcW w:w="2640" w:type="dxa"/>
            <w:vAlign w:val="bottom"/>
          </w:tcPr>
          <w:p>
            <w:pPr>
              <w:jc w:val="center"/>
              <w:ind w:left="937"/>
              <w:spacing w:after="0"/>
              <w:rPr>
                <w:sz w:val="20"/>
                <w:szCs w:val="20"/>
                <w:color w:val="auto"/>
              </w:rPr>
            </w:pPr>
            <w:r>
              <w:rPr>
                <w:rFonts w:ascii="Times New Roman" w:cs="Times New Roman" w:eastAsia="Times New Roman" w:hAnsi="Times New Roman"/>
                <w:sz w:val="8"/>
                <w:szCs w:val="8"/>
                <w:b w:val="1"/>
                <w:bCs w:val="1"/>
                <w:color w:val="auto"/>
                <w:w w:val="97"/>
              </w:rPr>
              <w:t>of Incorporation)</w:t>
            </w:r>
          </w:p>
        </w:tc>
        <w:tc>
          <w:tcPr>
            <w:tcW w:w="11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3420" w:type="dxa"/>
            <w:vAlign w:val="bottom"/>
          </w:tcPr>
          <w:p>
            <w:pPr>
              <w:jc w:val="center"/>
              <w:ind w:right="1077"/>
              <w:spacing w:after="0"/>
              <w:rPr>
                <w:sz w:val="20"/>
                <w:szCs w:val="20"/>
                <w:color w:val="auto"/>
              </w:rPr>
            </w:pPr>
            <w:r>
              <w:rPr>
                <w:rFonts w:ascii="Times New Roman" w:cs="Times New Roman" w:eastAsia="Times New Roman" w:hAnsi="Times New Roman"/>
                <w:sz w:val="8"/>
                <w:szCs w:val="8"/>
                <w:b w:val="1"/>
                <w:bCs w:val="1"/>
                <w:color w:val="auto"/>
                <w:w w:val="98"/>
              </w:rPr>
              <w:t>Identification No.)</w:t>
            </w:r>
          </w:p>
        </w:tc>
      </w:tr>
      <w:tr>
        <w:trPr>
          <w:trHeight w:val="249"/>
        </w:trPr>
        <w:tc>
          <w:tcPr>
            <w:tcW w:w="264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50 Minuteman Road, Andover,</w:t>
            </w:r>
          </w:p>
        </w:tc>
        <w:tc>
          <w:tcPr>
            <w:tcW w:w="1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Massachusetts</w:t>
            </w:r>
          </w:p>
        </w:tc>
        <w:tc>
          <w:tcPr>
            <w:tcW w:w="4120" w:type="dxa"/>
            <w:vAlign w:val="bottom"/>
          </w:tcPr>
          <w:p>
            <w:pPr>
              <w:spacing w:after="0"/>
              <w:rPr>
                <w:sz w:val="21"/>
                <w:szCs w:val="21"/>
                <w:color w:val="auto"/>
              </w:rPr>
            </w:pPr>
          </w:p>
        </w:tc>
        <w:tc>
          <w:tcPr>
            <w:tcW w:w="3420" w:type="dxa"/>
            <w:vAlign w:val="bottom"/>
          </w:tcPr>
          <w:p>
            <w:pPr>
              <w:jc w:val="right"/>
              <w:ind w:right="2137"/>
              <w:spacing w:after="0"/>
              <w:rPr>
                <w:sz w:val="20"/>
                <w:szCs w:val="20"/>
                <w:color w:val="auto"/>
              </w:rPr>
            </w:pPr>
            <w:r>
              <w:rPr>
                <w:rFonts w:ascii="Times New Roman" w:cs="Times New Roman" w:eastAsia="Times New Roman" w:hAnsi="Times New Roman"/>
                <w:sz w:val="10"/>
                <w:szCs w:val="10"/>
                <w:b w:val="1"/>
                <w:bCs w:val="1"/>
                <w:color w:val="auto"/>
              </w:rPr>
              <w:t>01810</w:t>
            </w:r>
          </w:p>
        </w:tc>
      </w:tr>
      <w:tr>
        <w:trPr>
          <w:trHeight w:val="120"/>
        </w:trPr>
        <w:tc>
          <w:tcPr>
            <w:tcW w:w="2640" w:type="dxa"/>
            <w:vAlign w:val="bottom"/>
          </w:tcPr>
          <w:p>
            <w:pPr>
              <w:ind w:left="1300"/>
              <w:spacing w:after="0"/>
              <w:rPr>
                <w:sz w:val="20"/>
                <w:szCs w:val="20"/>
                <w:color w:val="auto"/>
              </w:rPr>
            </w:pPr>
            <w:r>
              <w:rPr>
                <w:rFonts w:ascii="Times New Roman" w:cs="Times New Roman" w:eastAsia="Times New Roman" w:hAnsi="Times New Roman"/>
                <w:sz w:val="8"/>
                <w:szCs w:val="8"/>
                <w:b w:val="1"/>
                <w:bCs w:val="1"/>
                <w:color w:val="auto"/>
                <w:w w:val="96"/>
              </w:rPr>
              <w:t>(Address of Principal Executive Offices)</w:t>
            </w:r>
          </w:p>
        </w:tc>
        <w:tc>
          <w:tcPr>
            <w:tcW w:w="11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3420" w:type="dxa"/>
            <w:vAlign w:val="bottom"/>
          </w:tcPr>
          <w:p>
            <w:pPr>
              <w:jc w:val="center"/>
              <w:ind w:right="1117"/>
              <w:spacing w:after="0"/>
              <w:rPr>
                <w:sz w:val="20"/>
                <w:szCs w:val="20"/>
                <w:color w:val="auto"/>
              </w:rPr>
            </w:pPr>
            <w:r>
              <w:rPr>
                <w:rFonts w:ascii="Times New Roman" w:cs="Times New Roman" w:eastAsia="Times New Roman" w:hAnsi="Times New Roman"/>
                <w:sz w:val="8"/>
                <w:szCs w:val="8"/>
                <w:b w:val="1"/>
                <w:bCs w:val="1"/>
                <w:color w:val="auto"/>
              </w:rPr>
              <w:t>(Zip Code)</w:t>
            </w:r>
          </w:p>
        </w:tc>
      </w:tr>
      <w:tr>
        <w:trPr>
          <w:trHeight w:val="312"/>
        </w:trPr>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jc w:val="center"/>
              <w:ind w:right="316"/>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 (978) 256-1300</w:t>
            </w:r>
          </w:p>
        </w:tc>
        <w:tc>
          <w:tcPr>
            <w:tcW w:w="3420" w:type="dxa"/>
            <w:vAlign w:val="bottom"/>
          </w:tcPr>
          <w:p>
            <w:pPr>
              <w:spacing w:after="0"/>
              <w:rPr>
                <w:sz w:val="24"/>
                <w:szCs w:val="24"/>
                <w:color w:val="auto"/>
              </w:rPr>
            </w:pPr>
          </w:p>
        </w:tc>
      </w:tr>
      <w:tr>
        <w:trPr>
          <w:trHeight w:val="226"/>
        </w:trPr>
        <w:tc>
          <w:tcPr>
            <w:tcW w:w="2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jc w:val="center"/>
              <w:ind w:right="296"/>
              <w:spacing w:after="0"/>
              <w:rPr>
                <w:sz w:val="20"/>
                <w:szCs w:val="20"/>
                <w:color w:val="auto"/>
              </w:rPr>
            </w:pPr>
            <w:r>
              <w:rPr>
                <w:rFonts w:ascii="Times New Roman" w:cs="Times New Roman" w:eastAsia="Times New Roman" w:hAnsi="Times New Roman"/>
                <w:sz w:val="10"/>
                <w:szCs w:val="10"/>
                <w:b w:val="1"/>
                <w:bCs w:val="1"/>
                <w:color w:val="auto"/>
                <w:w w:val="96"/>
              </w:rPr>
              <w:t>Not Applicable</w:t>
            </w:r>
          </w:p>
        </w:tc>
        <w:tc>
          <w:tcPr>
            <w:tcW w:w="3420" w:type="dxa"/>
            <w:vAlign w:val="bottom"/>
          </w:tcPr>
          <w:p>
            <w:pPr>
              <w:spacing w:after="0"/>
              <w:rPr>
                <w:sz w:val="19"/>
                <w:szCs w:val="19"/>
                <w:color w:val="auto"/>
              </w:rPr>
            </w:pPr>
          </w:p>
        </w:tc>
      </w:tr>
      <w:tr>
        <w:trPr>
          <w:trHeight w:val="101"/>
        </w:trPr>
        <w:tc>
          <w:tcPr>
            <w:tcW w:w="2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1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7"/>
              </w:rPr>
              <w:t>(Former Name or Former Address, if Changed Since Last Report)</w:t>
            </w:r>
          </w:p>
        </w:tc>
        <w:tc>
          <w:tcPr>
            <w:tcW w:w="3420" w:type="dxa"/>
            <w:vAlign w:val="bottom"/>
          </w:tcPr>
          <w:p>
            <w:pPr>
              <w:spacing w:after="0"/>
              <w:rPr>
                <w:sz w:val="8"/>
                <w:szCs w:val="8"/>
                <w:color w:val="auto"/>
              </w:rPr>
            </w:pPr>
          </w:p>
        </w:tc>
      </w:tr>
      <w:tr>
        <w:trPr>
          <w:trHeight w:val="86"/>
        </w:trPr>
        <w:tc>
          <w:tcPr>
            <w:tcW w:w="26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r>
    </w:tbl>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0"/>
          <w:szCs w:val="10"/>
          <w:i w:val="1"/>
          <w:iCs w:val="1"/>
          <w:color w:val="auto"/>
        </w:rPr>
        <w:t>see</w:t>
      </w:r>
      <w:r>
        <w:rPr>
          <w:rFonts w:ascii="Times New Roman" w:cs="Times New Roman" w:eastAsia="Times New Roman" w:hAnsi="Times New Roman"/>
          <w:sz w:val="10"/>
          <w:szCs w:val="10"/>
          <w:color w:val="auto"/>
        </w:rPr>
        <w:t xml:space="preserve"> General Instruction A.2. below):</w:t>
      </w:r>
    </w:p>
    <w:p>
      <w:pPr>
        <w:spacing w:after="0" w:line="31" w:lineRule="exact"/>
        <w:rPr>
          <w:sz w:val="24"/>
          <w:szCs w:val="24"/>
          <w:color w:val="auto"/>
        </w:rPr>
      </w:pPr>
    </w:p>
    <w:p>
      <w:pPr>
        <w:ind w:left="520" w:hanging="489"/>
        <w:spacing w:after="0"/>
        <w:tabs>
          <w:tab w:leader="none" w:pos="52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30" w:lineRule="exact"/>
        <w:rPr>
          <w:rFonts w:ascii="MS PGothic" w:cs="MS PGothic" w:eastAsia="MS PGothic" w:hAnsi="MS PGothic"/>
          <w:sz w:val="10"/>
          <w:szCs w:val="10"/>
          <w:color w:val="auto"/>
        </w:rPr>
      </w:pPr>
    </w:p>
    <w:p>
      <w:pPr>
        <w:ind w:left="520" w:hanging="489"/>
        <w:spacing w:after="0" w:line="236" w:lineRule="auto"/>
        <w:tabs>
          <w:tab w:leader="none" w:pos="52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21" w:lineRule="exact"/>
        <w:rPr>
          <w:rFonts w:ascii="MS PGothic" w:cs="MS PGothic" w:eastAsia="MS PGothic" w:hAnsi="MS PGothic"/>
          <w:sz w:val="10"/>
          <w:szCs w:val="10"/>
          <w:color w:val="auto"/>
        </w:rPr>
      </w:pPr>
    </w:p>
    <w:p>
      <w:pPr>
        <w:ind w:left="520" w:hanging="489"/>
        <w:spacing w:after="0" w:line="236" w:lineRule="auto"/>
        <w:tabs>
          <w:tab w:leader="none" w:pos="52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21" w:lineRule="exact"/>
        <w:rPr>
          <w:rFonts w:ascii="MS PGothic" w:cs="MS PGothic" w:eastAsia="MS PGothic" w:hAnsi="MS PGothic"/>
          <w:sz w:val="10"/>
          <w:szCs w:val="10"/>
          <w:color w:val="auto"/>
        </w:rPr>
      </w:pPr>
    </w:p>
    <w:p>
      <w:pPr>
        <w:ind w:left="520" w:hanging="489"/>
        <w:spacing w:after="0" w:line="236" w:lineRule="auto"/>
        <w:tabs>
          <w:tab w:leader="none" w:pos="52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5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p>
      <w:pPr>
        <w:spacing w:after="0" w:line="14" w:lineRule="exact"/>
        <w:rPr>
          <w:sz w:val="24"/>
          <w:szCs w:val="24"/>
          <w:color w:val="auto"/>
        </w:rPr>
      </w:pPr>
    </w:p>
    <w:tbl>
      <w:tblPr>
        <w:tblLayout w:type="fixed"/>
        <w:tblInd w:w="10" w:type="dxa"/>
        <w:tblCellMar>
          <w:top w:w="0" w:type="dxa"/>
          <w:left w:w="0" w:type="dxa"/>
          <w:bottom w:w="0" w:type="dxa"/>
          <w:right w:w="0" w:type="dxa"/>
        </w:tblCellMar>
      </w:tblPr>
      <w:tr>
        <w:trPr>
          <w:trHeight w:val="132"/>
        </w:trPr>
        <w:tc>
          <w:tcPr>
            <w:tcW w:w="3960" w:type="dxa"/>
            <w:vAlign w:val="bottom"/>
            <w:tcBorders>
              <w:top w:val="single" w:sz="8" w:color="00000A"/>
              <w:left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0"/>
                <w:szCs w:val="10"/>
                <w:color w:val="auto"/>
              </w:rPr>
              <w:t>Title of each class</w:t>
            </w:r>
          </w:p>
        </w:tc>
        <w:tc>
          <w:tcPr>
            <w:tcW w:w="2800" w:type="dxa"/>
            <w:vAlign w:val="bottom"/>
            <w:tcBorders>
              <w:top w:val="single" w:sz="8" w:color="00000A"/>
              <w:right w:val="single" w:sz="8" w:color="00000A"/>
            </w:tcBorders>
          </w:tcPr>
          <w:p>
            <w:pPr>
              <w:spacing w:after="0"/>
              <w:rPr>
                <w:sz w:val="20"/>
                <w:szCs w:val="20"/>
                <w:color w:val="auto"/>
              </w:rPr>
            </w:pPr>
            <w:r>
              <w:rPr>
                <w:rFonts w:ascii="Times New Roman" w:cs="Times New Roman" w:eastAsia="Times New Roman" w:hAnsi="Times New Roman"/>
                <w:sz w:val="10"/>
                <w:szCs w:val="10"/>
                <w:color w:val="auto"/>
              </w:rPr>
              <w:t>Trading Symbol(s)</w:t>
            </w:r>
          </w:p>
        </w:tc>
        <w:tc>
          <w:tcPr>
            <w:tcW w:w="4560" w:type="dxa"/>
            <w:vAlign w:val="bottom"/>
            <w:tcBorders>
              <w:top w:val="single" w:sz="8" w:color="00000A"/>
              <w:right w:val="single" w:sz="8" w:color="00000A"/>
            </w:tcBorders>
          </w:tcPr>
          <w:p>
            <w:pPr>
              <w:spacing w:after="0"/>
              <w:rPr>
                <w:sz w:val="20"/>
                <w:szCs w:val="20"/>
                <w:color w:val="auto"/>
              </w:rPr>
            </w:pPr>
            <w:r>
              <w:rPr>
                <w:rFonts w:ascii="Times New Roman" w:cs="Times New Roman" w:eastAsia="Times New Roman" w:hAnsi="Times New Roman"/>
                <w:sz w:val="10"/>
                <w:szCs w:val="10"/>
                <w:color w:val="auto"/>
              </w:rPr>
              <w:t>Name of each exchange on which registered</w:t>
            </w:r>
          </w:p>
        </w:tc>
      </w:tr>
      <w:tr>
        <w:trPr>
          <w:trHeight w:val="84"/>
        </w:trPr>
        <w:tc>
          <w:tcPr>
            <w:tcW w:w="3960" w:type="dxa"/>
            <w:vAlign w:val="bottom"/>
            <w:tcBorders>
              <w:left w:val="single" w:sz="8" w:color="00000A"/>
              <w:bottom w:val="single" w:sz="8" w:color="00000A"/>
              <w:right w:val="single" w:sz="8" w:color="00000A"/>
            </w:tcBorders>
          </w:tcPr>
          <w:p>
            <w:pPr>
              <w:spacing w:after="0"/>
              <w:rPr>
                <w:sz w:val="7"/>
                <w:szCs w:val="7"/>
                <w:color w:val="auto"/>
              </w:rPr>
            </w:pPr>
          </w:p>
        </w:tc>
        <w:tc>
          <w:tcPr>
            <w:tcW w:w="2800" w:type="dxa"/>
            <w:vAlign w:val="bottom"/>
            <w:tcBorders>
              <w:bottom w:val="single" w:sz="8" w:color="00000A"/>
              <w:right w:val="single" w:sz="8" w:color="00000A"/>
            </w:tcBorders>
          </w:tcPr>
          <w:p>
            <w:pPr>
              <w:spacing w:after="0"/>
              <w:rPr>
                <w:sz w:val="7"/>
                <w:szCs w:val="7"/>
                <w:color w:val="auto"/>
              </w:rPr>
            </w:pPr>
          </w:p>
        </w:tc>
        <w:tc>
          <w:tcPr>
            <w:tcW w:w="4560" w:type="dxa"/>
            <w:vAlign w:val="bottom"/>
            <w:tcBorders>
              <w:bottom w:val="single" w:sz="8" w:color="00000A"/>
              <w:right w:val="single" w:sz="8" w:color="00000A"/>
            </w:tcBorders>
          </w:tcPr>
          <w:p>
            <w:pPr>
              <w:spacing w:after="0"/>
              <w:rPr>
                <w:sz w:val="7"/>
                <w:szCs w:val="7"/>
                <w:color w:val="auto"/>
              </w:rPr>
            </w:pPr>
          </w:p>
        </w:tc>
      </w:tr>
      <w:tr>
        <w:trPr>
          <w:trHeight w:val="112"/>
        </w:trPr>
        <w:tc>
          <w:tcPr>
            <w:tcW w:w="3960" w:type="dxa"/>
            <w:vAlign w:val="bottom"/>
            <w:tcBorders>
              <w:left w:val="single" w:sz="8" w:color="00000A"/>
              <w:right w:val="single" w:sz="8" w:color="00000A"/>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Common Stock, par value $0.01</w:t>
            </w:r>
          </w:p>
        </w:tc>
        <w:tc>
          <w:tcPr>
            <w:tcW w:w="2800" w:type="dxa"/>
            <w:vAlign w:val="bottom"/>
            <w:tcBorders>
              <w:right w:val="single" w:sz="8" w:color="00000A"/>
            </w:tcBorders>
          </w:tcPr>
          <w:p>
            <w:pPr>
              <w:spacing w:after="0" w:line="113" w:lineRule="exact"/>
              <w:rPr>
                <w:sz w:val="20"/>
                <w:szCs w:val="20"/>
                <w:color w:val="auto"/>
              </w:rPr>
            </w:pPr>
            <w:r>
              <w:rPr>
                <w:rFonts w:ascii="Times New Roman" w:cs="Times New Roman" w:eastAsia="Times New Roman" w:hAnsi="Times New Roman"/>
                <w:sz w:val="10"/>
                <w:szCs w:val="10"/>
                <w:color w:val="auto"/>
              </w:rPr>
              <w:t>MRCY</w:t>
            </w:r>
          </w:p>
        </w:tc>
        <w:tc>
          <w:tcPr>
            <w:tcW w:w="4560" w:type="dxa"/>
            <w:vAlign w:val="bottom"/>
            <w:tcBorders>
              <w:right w:val="single" w:sz="8" w:color="00000A"/>
            </w:tcBorders>
          </w:tcPr>
          <w:p>
            <w:pPr>
              <w:spacing w:after="0" w:line="113" w:lineRule="exact"/>
              <w:rPr>
                <w:sz w:val="20"/>
                <w:szCs w:val="20"/>
                <w:color w:val="auto"/>
              </w:rPr>
            </w:pPr>
            <w:r>
              <w:rPr>
                <w:rFonts w:ascii="Times New Roman" w:cs="Times New Roman" w:eastAsia="Times New Roman" w:hAnsi="Times New Roman"/>
                <w:sz w:val="10"/>
                <w:szCs w:val="10"/>
                <w:color w:val="auto"/>
              </w:rPr>
              <w:t>Nasdaq Global Select Market</w:t>
            </w:r>
          </w:p>
        </w:tc>
      </w:tr>
      <w:tr>
        <w:trPr>
          <w:trHeight w:val="84"/>
        </w:trPr>
        <w:tc>
          <w:tcPr>
            <w:tcW w:w="3960" w:type="dxa"/>
            <w:vAlign w:val="bottom"/>
            <w:tcBorders>
              <w:left w:val="single" w:sz="8" w:color="00000A"/>
              <w:bottom w:val="single" w:sz="8" w:color="00000A"/>
              <w:right w:val="single" w:sz="8" w:color="00000A"/>
            </w:tcBorders>
          </w:tcPr>
          <w:p>
            <w:pPr>
              <w:spacing w:after="0"/>
              <w:rPr>
                <w:sz w:val="7"/>
                <w:szCs w:val="7"/>
                <w:color w:val="auto"/>
              </w:rPr>
            </w:pPr>
          </w:p>
        </w:tc>
        <w:tc>
          <w:tcPr>
            <w:tcW w:w="2800" w:type="dxa"/>
            <w:vAlign w:val="bottom"/>
            <w:tcBorders>
              <w:bottom w:val="single" w:sz="8" w:color="00000A"/>
              <w:right w:val="single" w:sz="8" w:color="00000A"/>
            </w:tcBorders>
          </w:tcPr>
          <w:p>
            <w:pPr>
              <w:spacing w:after="0"/>
              <w:rPr>
                <w:sz w:val="7"/>
                <w:szCs w:val="7"/>
                <w:color w:val="auto"/>
              </w:rPr>
            </w:pPr>
          </w:p>
        </w:tc>
        <w:tc>
          <w:tcPr>
            <w:tcW w:w="4560" w:type="dxa"/>
            <w:vAlign w:val="bottom"/>
            <w:tcBorders>
              <w:bottom w:val="single" w:sz="8" w:color="00000A"/>
              <w:right w:val="single" w:sz="8" w:color="00000A"/>
            </w:tcBorders>
          </w:tcPr>
          <w:p>
            <w:pPr>
              <w:spacing w:after="0"/>
              <w:rPr>
                <w:sz w:val="7"/>
                <w:szCs w:val="7"/>
                <w:color w:val="auto"/>
              </w:rPr>
            </w:pPr>
          </w:p>
        </w:tc>
      </w:tr>
      <w:tr>
        <w:trPr>
          <w:trHeight w:val="961"/>
        </w:trPr>
        <w:tc>
          <w:tcPr>
            <w:tcW w:w="39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40" w:right="299" w:bottom="1440" w:gutter="0" w:footer="0" w:header="0"/>
        </w:sectPr>
      </w:pPr>
    </w:p>
    <w:bookmarkStart w:id="1" w:name="page2"/>
    <w:bookmarkEnd w:id="1"/>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55" w:lineRule="exact"/>
        <w:rPr>
          <w:sz w:val="20"/>
          <w:szCs w:val="20"/>
          <w:color w:val="auto"/>
        </w:rPr>
      </w:pPr>
    </w:p>
    <w:p>
      <w:pPr>
        <w:ind w:left="8" w:right="40" w:firstLine="432"/>
        <w:spacing w:after="0" w:line="264" w:lineRule="auto"/>
        <w:rPr>
          <w:sz w:val="20"/>
          <w:szCs w:val="20"/>
          <w:color w:val="auto"/>
        </w:rPr>
      </w:pPr>
      <w:r>
        <w:rPr>
          <w:rFonts w:ascii="Times New Roman" w:cs="Times New Roman" w:eastAsia="Times New Roman" w:hAnsi="Times New Roman"/>
          <w:sz w:val="12"/>
          <w:szCs w:val="12"/>
          <w:color w:val="auto"/>
        </w:rPr>
        <w:t>On May 5, 2026, Mercury Systems, Inc. (the "Company") issued a press release and an earnings presentation regarding its financial results for the third quarter ended March 27, 2026. The Company’s press release and earnings presentation are attached as exhibits 99.1 and 99.2 to this Current Report on Form 8-K and incorporated by reference herein.</w:t>
      </w:r>
    </w:p>
    <w:p>
      <w:pPr>
        <w:spacing w:after="0" w:line="20" w:lineRule="exact"/>
        <w:rPr>
          <w:sz w:val="20"/>
          <w:szCs w:val="20"/>
          <w:color w:val="auto"/>
        </w:rPr>
      </w:pPr>
    </w:p>
    <w:p>
      <w:pPr>
        <w:ind w:left="8" w:right="320" w:firstLine="432"/>
        <w:spacing w:after="0" w:line="249" w:lineRule="auto"/>
        <w:rPr>
          <w:sz w:val="20"/>
          <w:szCs w:val="20"/>
          <w:color w:val="auto"/>
        </w:rPr>
      </w:pPr>
      <w:r>
        <w:rPr>
          <w:rFonts w:ascii="Times New Roman" w:cs="Times New Roman" w:eastAsia="Times New Roman" w:hAnsi="Times New Roman"/>
          <w:sz w:val="12"/>
          <w:szCs w:val="12"/>
          <w:color w:val="auto"/>
        </w:rPr>
        <w:t>Information in Item 2.02 of this Current Report on Form 8-K and the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Non-GAAP Financial Measures</w:t>
      </w:r>
    </w:p>
    <w:p>
      <w:pPr>
        <w:spacing w:after="0" w:line="55" w:lineRule="exact"/>
        <w:rPr>
          <w:sz w:val="20"/>
          <w:szCs w:val="20"/>
          <w:color w:val="auto"/>
        </w:rPr>
      </w:pPr>
    </w:p>
    <w:p>
      <w:pPr>
        <w:ind w:left="8" w:firstLine="432"/>
        <w:spacing w:after="0" w:line="242" w:lineRule="auto"/>
        <w:rPr>
          <w:sz w:val="20"/>
          <w:szCs w:val="20"/>
          <w:color w:val="auto"/>
        </w:rPr>
      </w:pPr>
      <w:r>
        <w:rPr>
          <w:rFonts w:ascii="Times New Roman" w:cs="Times New Roman" w:eastAsia="Times New Roman" w:hAnsi="Times New Roman"/>
          <w:sz w:val="12"/>
          <w:szCs w:val="12"/>
          <w:color w:val="auto"/>
        </w:rPr>
        <w:t>In addition to reporting financial results in accordance with generally accepted accounting principles, or GAAP, the Company provides adjusted EBITDA, adjusted income, adjusted EPS, and free cash flow, which are non-GAAP financial measures. Adjusted EBITDA, adjusted income, and adjusted EPS exclude certain non-cash and other specified charges. The Company believes these non-GAAP financial measures are useful to help investors more completely understand its past financial performance and prospects for the future. However, the presentation of these non-GAAP financial measures is not meant to be considered in isolation or as a substitute for financial information provided in accordance with GAAP. Management believes these non-GAAP financial measures assist in providing a more complete understanding of the Company’s underlying operational results and trends, and management uses these measures along with the corresponding GAAP financial measures to manage the Company’s business, to evaluate its performance compared to prior periods and the marketplace, and to establish operational goals.</w:t>
      </w:r>
    </w:p>
    <w:p>
      <w:pPr>
        <w:spacing w:after="0" w:line="101"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22"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Exhibits.</w:t>
      </w: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94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9160" w:type="dxa"/>
            <w:vAlign w:val="bottom"/>
          </w:tcPr>
          <w:p>
            <w:pPr>
              <w:spacing w:after="0"/>
              <w:rPr>
                <w:sz w:val="12"/>
                <w:szCs w:val="12"/>
                <w:color w:val="auto"/>
              </w:rPr>
            </w:pPr>
          </w:p>
        </w:tc>
      </w:tr>
      <w:tr>
        <w:trPr>
          <w:trHeight w:val="49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Press Release dated May 5, 2026</w:t>
            </w:r>
          </w:p>
        </w:tc>
      </w:tr>
      <w:tr>
        <w:trPr>
          <w:trHeight w:val="153"/>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940" w:type="dxa"/>
            <w:vAlign w:val="bottom"/>
          </w:tcPr>
          <w:p>
            <w:pPr>
              <w:spacing w:after="0"/>
              <w:rPr>
                <w:sz w:val="13"/>
                <w:szCs w:val="13"/>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Earnings Presentation dated May 5, 2026</w:t>
            </w:r>
          </w:p>
        </w:tc>
      </w:tr>
      <w:tr>
        <w:trPr>
          <w:trHeight w:val="155"/>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940" w:type="dxa"/>
            <w:vAlign w:val="bottom"/>
          </w:tcPr>
          <w:p>
            <w:pPr>
              <w:spacing w:after="0"/>
              <w:rPr>
                <w:sz w:val="13"/>
                <w:szCs w:val="13"/>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01"/>
        </w:trPr>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64"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2"/>
          <w:szCs w:val="12"/>
          <w:color w:val="auto"/>
        </w:rPr>
        <w:t>Dated: May 5, 2026</w:t>
      </w:r>
      <w:r>
        <w:rPr>
          <w:sz w:val="20"/>
          <w:szCs w:val="20"/>
          <w:color w:val="auto"/>
        </w:rPr>
        <w:tab/>
      </w:r>
      <w:r>
        <w:rPr>
          <w:rFonts w:ascii="Times New Roman" w:cs="Times New Roman" w:eastAsia="Times New Roman" w:hAnsi="Times New Roman"/>
          <w:sz w:val="11"/>
          <w:szCs w:val="11"/>
          <w:color w:val="auto"/>
        </w:rPr>
        <w:t>MERCURY SYSTEMS, INC.</w:t>
      </w:r>
    </w:p>
    <w:p>
      <w:pPr>
        <w:spacing w:after="0" w:line="1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By: /s/ David E. Farnsworth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-5715</wp:posOffset>
            </wp:positionV>
            <wp:extent cx="7467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760" cy="5715"/>
                    </a:xfrm>
                    <a:prstGeom prst="rect">
                      <a:avLst/>
                    </a:prstGeom>
                    <a:noFill/>
                  </pic:spPr>
                </pic:pic>
              </a:graphicData>
            </a:graphic>
          </wp:anchor>
        </w:drawing>
      </w:r>
    </w:p>
    <w:p>
      <w:pPr>
        <w:ind w:left="5760"/>
        <w:spacing w:after="0" w:line="203" w:lineRule="auto"/>
        <w:rPr>
          <w:sz w:val="20"/>
          <w:szCs w:val="20"/>
          <w:color w:val="auto"/>
        </w:rPr>
      </w:pPr>
      <w:r>
        <w:rPr>
          <w:rFonts w:ascii="Times New Roman" w:cs="Times New Roman" w:eastAsia="Times New Roman" w:hAnsi="Times New Roman"/>
          <w:sz w:val="12"/>
          <w:szCs w:val="12"/>
          <w:color w:val="auto"/>
        </w:rPr>
        <w:t>David E. Farnsworth</w:t>
      </w:r>
    </w:p>
    <w:p>
      <w:pPr>
        <w:ind w:left="5760"/>
        <w:spacing w:after="0"/>
        <w:rPr>
          <w:sz w:val="20"/>
          <w:szCs w:val="20"/>
          <w:color w:val="auto"/>
        </w:rPr>
      </w:pPr>
      <w:r>
        <w:rPr>
          <w:rFonts w:ascii="Times New Roman" w:cs="Times New Roman" w:eastAsia="Times New Roman" w:hAnsi="Times New Roman"/>
          <w:sz w:val="12"/>
          <w:szCs w:val="12"/>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504825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19"/>
          </w:cols>
          <w:pgMar w:left="340" w:top="755" w:right="1440" w:bottom="1440" w:gutter="0" w:footer="0" w:header="0"/>
        </w:sectPr>
      </w:pPr>
    </w:p>
    <w:bookmarkStart w:id="3" w:name="page4"/>
    <w:bookmarkEnd w:id="3"/>
    <w:p>
      <w:pPr>
        <w:jc w:val="right"/>
        <w:ind w:right="4059"/>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94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2660" w:type="dxa"/>
            <w:vAlign w:val="bottom"/>
            <w:gridSpan w:val="2"/>
          </w:tcPr>
          <w:p>
            <w:pPr>
              <w:spacing w:after="0"/>
              <w:rPr>
                <w:sz w:val="12"/>
                <w:szCs w:val="12"/>
                <w:color w:val="auto"/>
              </w:rPr>
            </w:pPr>
          </w:p>
        </w:tc>
      </w:tr>
      <w:tr>
        <w:trPr>
          <w:trHeight w:val="466"/>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dated May 5, 2026 of Mercury Systems, Inc.</w:t>
            </w:r>
          </w:p>
        </w:tc>
      </w:tr>
      <w:tr>
        <w:trPr>
          <w:trHeight w:val="20"/>
        </w:trPr>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3"/>
        </w:trPr>
        <w:tc>
          <w:tcPr>
            <w:tcW w:w="22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60" w:type="dxa"/>
            <w:vAlign w:val="bottom"/>
            <w:tcBorders>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9"/>
              </w:rPr>
              <w:t>Earnings Presentation, dated May 5, 2026 of Mercury Systems, Inc.</w:t>
            </w:r>
          </w:p>
        </w:tc>
      </w:tr>
    </w:tbl>
    <w:p>
      <w:pPr>
        <w:sectPr>
          <w:pgSz w:w="11900" w:h="16838" w:orient="portrait"/>
          <w:cols w:equalWidth="0" w:num="1">
            <w:col w:w="10159"/>
          </w:cols>
          <w:pgMar w:left="300" w:top="63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13335</wp:posOffset>
            </wp:positionV>
            <wp:extent cx="384048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04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Mercury Systems Reports Third Quarter Fiscal 2026 Results</w:t>
      </w:r>
    </w:p>
    <w:p>
      <w:pPr>
        <w:spacing w:after="0" w:line="180" w:lineRule="exact"/>
        <w:rPr>
          <w:sz w:val="20"/>
          <w:szCs w:val="20"/>
          <w:color w:val="auto"/>
        </w:rPr>
      </w:pPr>
    </w:p>
    <w:p>
      <w:pPr>
        <w:ind w:left="480" w:hanging="202"/>
        <w:spacing w:after="0"/>
        <w:tabs>
          <w:tab w:leader="none" w:pos="4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Record Q3 FY26 Bookings of $348 million grew 73.7% year-over-year; book-to-bill of 1.48</w:t>
      </w:r>
    </w:p>
    <w:p>
      <w:pPr>
        <w:spacing w:after="0" w:line="24" w:lineRule="exact"/>
        <w:rPr>
          <w:rFonts w:ascii="Arial" w:cs="Arial" w:eastAsia="Arial" w:hAnsi="Arial"/>
          <w:sz w:val="14"/>
          <w:szCs w:val="14"/>
          <w:b w:val="1"/>
          <w:bCs w:val="1"/>
          <w:color w:val="auto"/>
        </w:rPr>
      </w:pPr>
    </w:p>
    <w:p>
      <w:pPr>
        <w:ind w:left="460" w:hanging="182"/>
        <w:spacing w:after="0"/>
        <w:tabs>
          <w:tab w:leader="none" w:pos="460" w:val="left"/>
        </w:tabs>
        <w:numPr>
          <w:ilvl w:val="0"/>
          <w:numId w:val="3"/>
        </w:numPr>
        <w:rPr>
          <w:rFonts w:ascii="Arial" w:cs="Arial" w:eastAsia="Arial" w:hAnsi="Arial"/>
          <w:sz w:val="13"/>
          <w:szCs w:val="13"/>
          <w:b w:val="1"/>
          <w:bCs w:val="1"/>
          <w:color w:val="auto"/>
        </w:rPr>
      </w:pPr>
      <w:r>
        <w:rPr>
          <w:rFonts w:ascii="Arial" w:cs="Arial" w:eastAsia="Arial" w:hAnsi="Arial"/>
          <w:sz w:val="14"/>
          <w:szCs w:val="14"/>
          <w:b w:val="1"/>
          <w:bCs w:val="1"/>
          <w:color w:val="auto"/>
        </w:rPr>
        <w:t>Record backlog of approximately $1.6 billion; up 17.9% year-over-year</w:t>
      </w:r>
    </w:p>
    <w:p>
      <w:pPr>
        <w:spacing w:after="0" w:line="19" w:lineRule="exact"/>
        <w:rPr>
          <w:rFonts w:ascii="Arial" w:cs="Arial" w:eastAsia="Arial" w:hAnsi="Arial"/>
          <w:sz w:val="13"/>
          <w:szCs w:val="13"/>
          <w:b w:val="1"/>
          <w:bCs w:val="1"/>
          <w:color w:val="auto"/>
        </w:rPr>
      </w:pPr>
    </w:p>
    <w:p>
      <w:pPr>
        <w:ind w:left="480" w:hanging="202"/>
        <w:spacing w:after="0"/>
        <w:tabs>
          <w:tab w:leader="none" w:pos="4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Q3 FY26 Revenue of $236 million; up 11.5% organically year-over-year</w:t>
      </w:r>
    </w:p>
    <w:p>
      <w:pPr>
        <w:spacing w:after="0" w:line="10" w:lineRule="exact"/>
        <w:rPr>
          <w:rFonts w:ascii="Arial" w:cs="Arial" w:eastAsia="Arial" w:hAnsi="Arial"/>
          <w:sz w:val="14"/>
          <w:szCs w:val="14"/>
          <w:b w:val="1"/>
          <w:bCs w:val="1"/>
          <w:color w:val="auto"/>
        </w:rPr>
      </w:pPr>
    </w:p>
    <w:p>
      <w:pPr>
        <w:ind w:left="480" w:hanging="202"/>
        <w:spacing w:after="0"/>
        <w:tabs>
          <w:tab w:leader="none" w:pos="48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GAAP net loss of $3 million; and adjusted EBITDA of $36 million, up 46.2% year-over-year</w:t>
      </w:r>
    </w:p>
    <w:p>
      <w:pPr>
        <w:spacing w:after="0" w:line="194" w:lineRule="exact"/>
        <w:rPr>
          <w:sz w:val="20"/>
          <w:szCs w:val="20"/>
          <w:color w:val="auto"/>
        </w:rPr>
      </w:pPr>
    </w:p>
    <w:p>
      <w:pPr>
        <w:ind w:right="200"/>
        <w:spacing w:after="0" w:line="419" w:lineRule="auto"/>
        <w:rPr>
          <w:sz w:val="20"/>
          <w:szCs w:val="20"/>
          <w:color w:val="auto"/>
        </w:rPr>
      </w:pPr>
      <w:r>
        <w:rPr>
          <w:rFonts w:ascii="Arial" w:cs="Arial" w:eastAsia="Arial" w:hAnsi="Arial"/>
          <w:sz w:val="14"/>
          <w:szCs w:val="14"/>
          <w:b w:val="1"/>
          <w:bCs w:val="1"/>
          <w:color w:val="auto"/>
        </w:rPr>
        <w:t xml:space="preserve">ANDOVER, Mass. May 5, 2026 </w:t>
      </w:r>
      <w:r>
        <w:rPr>
          <w:rFonts w:ascii="Arial" w:cs="Arial" w:eastAsia="Arial" w:hAnsi="Arial"/>
          <w:sz w:val="14"/>
          <w:szCs w:val="14"/>
          <w:color w:val="auto"/>
        </w:rPr>
        <w:t>Mercury Systems, Inc. (NASDAQ: MRCY, www.mrcy.com), reported operating results for the third quarter of fiscal year 2026, ended March</w:t>
      </w:r>
      <w:r>
        <w:rPr>
          <w:rFonts w:ascii="Arial" w:cs="Arial" w:eastAsia="Arial" w:hAnsi="Arial"/>
          <w:sz w:val="14"/>
          <w:szCs w:val="14"/>
          <w:b w:val="1"/>
          <w:bCs w:val="1"/>
          <w:color w:val="auto"/>
        </w:rPr>
        <w:t xml:space="preserve"> </w:t>
      </w:r>
      <w:r>
        <w:rPr>
          <w:rFonts w:ascii="Arial" w:cs="Arial" w:eastAsia="Arial" w:hAnsi="Arial"/>
          <w:sz w:val="14"/>
          <w:szCs w:val="14"/>
          <w:color w:val="auto"/>
        </w:rPr>
        <w:t>27, 2026.</w:t>
      </w:r>
    </w:p>
    <w:p>
      <w:pPr>
        <w:spacing w:after="0" w:line="14" w:lineRule="exact"/>
        <w:rPr>
          <w:sz w:val="20"/>
          <w:szCs w:val="20"/>
          <w:color w:val="auto"/>
        </w:rPr>
      </w:pPr>
    </w:p>
    <w:p>
      <w:pPr>
        <w:ind w:right="20"/>
        <w:spacing w:after="0" w:line="419" w:lineRule="auto"/>
        <w:rPr>
          <w:sz w:val="20"/>
          <w:szCs w:val="20"/>
          <w:color w:val="auto"/>
        </w:rPr>
      </w:pPr>
      <w:r>
        <w:rPr>
          <w:rFonts w:ascii="Arial" w:cs="Arial" w:eastAsia="Arial" w:hAnsi="Arial"/>
          <w:sz w:val="14"/>
          <w:szCs w:val="14"/>
          <w:color w:val="auto"/>
        </w:rPr>
        <w:t>“We delivered third quarter fiscal 2026 results that were ahead of our expectations, with significant year-over-year growth in backlog, revenue, and adjusted EBITDA,” said Bill Ballhaus, Mercury’s Chairman and CEO. “Strong demand signals and solid execution contributed to better than expected organic growth and margin expansion this quarter."</w:t>
      </w:r>
    </w:p>
    <w:p>
      <w:pPr>
        <w:spacing w:after="0" w:line="14" w:lineRule="exact"/>
        <w:rPr>
          <w:sz w:val="20"/>
          <w:szCs w:val="20"/>
          <w:color w:val="auto"/>
        </w:rPr>
      </w:pPr>
    </w:p>
    <w:p>
      <w:pPr>
        <w:spacing w:after="0" w:line="441" w:lineRule="auto"/>
        <w:rPr>
          <w:sz w:val="20"/>
          <w:szCs w:val="20"/>
          <w:color w:val="auto"/>
        </w:rPr>
      </w:pPr>
      <w:r>
        <w:rPr>
          <w:rFonts w:ascii="Arial" w:cs="Arial" w:eastAsia="Arial" w:hAnsi="Arial"/>
          <w:sz w:val="14"/>
          <w:szCs w:val="14"/>
          <w:color w:val="auto"/>
        </w:rPr>
        <w:t>“In the third quarter we delivered record bookings of $348 million, with a 1.48 book-to-bill, resulting in a record backlog of approximately $1.6 billion. Revenue for the third quarter was $236 million, up 11.5% year-over-year. GAAP net loss of $3 million, adjusted EBITDA of $36 million, and adjusted EBITDA margin of 15.3%, each improving year-over-year."</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Fiscal 2026 Results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Third quarter fiscal 2026 revenues were $236 million, compared to $211 million in the third quarter of fiscal 2025.</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Total bookings for the third quarter of fiscal 2026 were $348 million, yielding a book-to-bill ratio of 1.48 for the quarter.</w:t>
      </w:r>
    </w:p>
    <w:p>
      <w:pPr>
        <w:sectPr>
          <w:pgSz w:w="11900" w:h="16838" w:orient="portrait"/>
          <w:cols w:equalWidth="0" w:num="1">
            <w:col w:w="11100"/>
          </w:cols>
          <w:pgMar w:left="500" w:top="989" w:right="299" w:bottom="1440" w:gutter="0" w:footer="0" w:header="0"/>
        </w:sectPr>
      </w:pPr>
    </w:p>
    <w:bookmarkStart w:id="5" w:name="page6"/>
    <w:bookmarkEnd w:id="5"/>
    <w:p>
      <w:pPr>
        <w:ind w:left="7880"/>
        <w:spacing w:after="0"/>
        <w:rPr>
          <w:sz w:val="20"/>
          <w:szCs w:val="20"/>
          <w:color w:val="auto"/>
        </w:rPr>
      </w:pPr>
      <w:r>
        <w:rPr>
          <w:rFonts w:ascii="Arial" w:cs="Arial" w:eastAsia="Arial" w:hAnsi="Arial"/>
          <w:sz w:val="11"/>
          <w:szCs w:val="11"/>
          <w:color w:val="auto"/>
        </w:rPr>
        <w:t>Mercury Reports Third Quarter Fiscal 2026 Results, Page 2</w:t>
      </w:r>
    </w:p>
    <w:p>
      <w:pPr>
        <w:spacing w:after="0" w:line="287" w:lineRule="exact"/>
        <w:rPr>
          <w:sz w:val="20"/>
          <w:szCs w:val="20"/>
          <w:color w:val="auto"/>
        </w:rPr>
      </w:pPr>
    </w:p>
    <w:p>
      <w:pPr>
        <w:ind w:right="20"/>
        <w:spacing w:after="0" w:line="397" w:lineRule="auto"/>
        <w:rPr>
          <w:sz w:val="20"/>
          <w:szCs w:val="20"/>
          <w:color w:val="auto"/>
        </w:rPr>
      </w:pPr>
      <w:r>
        <w:rPr>
          <w:rFonts w:ascii="Arial" w:cs="Arial" w:eastAsia="Arial" w:hAnsi="Arial"/>
          <w:sz w:val="14"/>
          <w:szCs w:val="14"/>
          <w:color w:val="auto"/>
        </w:rPr>
        <w:t>GAAP net loss and loss per share for the third quarter of fiscal 2026 were $3 million and $0.04, respectively, compared to GAAP net loss and loss per share of $19 million and $0.33, respectively, for the third quarter of fiscal 2025. Adjusted earnings per share (“adjusted EPS”) was $0.27 per share for the third quarter of fiscal 2026, compared to $0.06 per share in the third quarter of fiscal 2025.</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Third quarter fiscal 2026 adjusted EBITDA was $36 million, compared to $25 million for the third quarter of fiscal 2025.</w:t>
      </w:r>
    </w:p>
    <w:p>
      <w:pPr>
        <w:spacing w:after="0" w:line="163" w:lineRule="exact"/>
        <w:rPr>
          <w:sz w:val="20"/>
          <w:szCs w:val="20"/>
          <w:color w:val="auto"/>
        </w:rPr>
      </w:pPr>
    </w:p>
    <w:p>
      <w:pPr>
        <w:spacing w:after="0" w:line="397" w:lineRule="auto"/>
        <w:rPr>
          <w:sz w:val="20"/>
          <w:szCs w:val="20"/>
          <w:color w:val="auto"/>
        </w:rPr>
      </w:pPr>
      <w:r>
        <w:rPr>
          <w:rFonts w:ascii="Arial" w:cs="Arial" w:eastAsia="Arial" w:hAnsi="Arial"/>
          <w:sz w:val="14"/>
          <w:szCs w:val="14"/>
          <w:color w:val="auto"/>
        </w:rPr>
        <w:t>Cash flows provided by operating activities in the third quarter of fiscal 2026 were $6 million, compared to $30 million in the third quarter of fiscal 2025. Free cash flow, defined as cash flows from operating activities less capital expenditures for property and equipment, was $(2) million for the third quarter of fiscal 2026 and $24 million for the third quarter of fiscal 2025.</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63" w:lineRule="exact"/>
        <w:rPr>
          <w:sz w:val="20"/>
          <w:szCs w:val="20"/>
          <w:color w:val="auto"/>
        </w:rPr>
      </w:pPr>
    </w:p>
    <w:p>
      <w:pPr>
        <w:ind w:right="180"/>
        <w:spacing w:after="0" w:line="405" w:lineRule="auto"/>
        <w:rPr>
          <w:sz w:val="20"/>
          <w:szCs w:val="20"/>
          <w:color w:val="auto"/>
        </w:rPr>
      </w:pPr>
      <w:r>
        <w:rPr>
          <w:rFonts w:ascii="Arial" w:cs="Arial" w:eastAsia="Arial" w:hAnsi="Arial"/>
          <w:sz w:val="14"/>
          <w:szCs w:val="14"/>
          <w:color w:val="auto"/>
        </w:rPr>
        <w:t>Mercury’s total backlog at March 27, 2026 was approximately $1.6 billion, an approximate $240 million increase from a year ago. Of the March 27, 2026 total backlog, $891 million represents orders expected to be recognized as revenue within the next 12 months.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 Information</w:t>
      </w:r>
    </w:p>
    <w:p>
      <w:pPr>
        <w:spacing w:after="0" w:line="163" w:lineRule="exact"/>
        <w:rPr>
          <w:sz w:val="20"/>
          <w:szCs w:val="20"/>
          <w:color w:val="auto"/>
        </w:rPr>
      </w:pPr>
    </w:p>
    <w:p>
      <w:pPr>
        <w:ind w:right="140"/>
        <w:spacing w:after="0" w:line="397" w:lineRule="auto"/>
        <w:rPr>
          <w:sz w:val="20"/>
          <w:szCs w:val="20"/>
          <w:color w:val="auto"/>
        </w:rPr>
      </w:pPr>
      <w:r>
        <w:rPr>
          <w:rFonts w:ascii="Arial" w:cs="Arial" w:eastAsia="Arial" w:hAnsi="Arial"/>
          <w:sz w:val="14"/>
          <w:szCs w:val="14"/>
          <w:color w:val="auto"/>
        </w:rPr>
        <w:t>Management will host a conference call and simultaneous webcast at 5:00 p.m. ET on Tuesday, May 5, 2026, to discuss Mercury's quarterly financial results, business highlights and outlook. In addition, Company representatives may answer questions concerning business and financial developments and trends, the Company's view on earnings forecasts, and other business and financial matters affecting the Company, the responses to which may contain information that has not been previously disclosed.</w:t>
      </w:r>
    </w:p>
    <w:p>
      <w:pPr>
        <w:spacing w:after="0" w:line="29" w:lineRule="exact"/>
        <w:rPr>
          <w:sz w:val="20"/>
          <w:szCs w:val="20"/>
          <w:color w:val="auto"/>
        </w:rPr>
      </w:pPr>
    </w:p>
    <w:p>
      <w:pPr>
        <w:ind w:right="140"/>
        <w:spacing w:after="0" w:line="390" w:lineRule="auto"/>
        <w:rPr>
          <w:sz w:val="20"/>
          <w:szCs w:val="20"/>
          <w:color w:val="auto"/>
        </w:rPr>
      </w:pPr>
      <w:r>
        <w:rPr>
          <w:rFonts w:ascii="Arial" w:cs="Arial" w:eastAsia="Arial" w:hAnsi="Arial"/>
          <w:sz w:val="14"/>
          <w:szCs w:val="14"/>
          <w:color w:val="auto"/>
        </w:rPr>
        <w:t xml:space="preserve">To participate in the conference call Q&amp;A as an analyst please register online at </w:t>
      </w:r>
      <w:r>
        <w:rPr>
          <w:rFonts w:ascii="Arial" w:cs="Arial" w:eastAsia="Arial" w:hAnsi="Arial"/>
          <w:sz w:val="14"/>
          <w:szCs w:val="14"/>
          <w:u w:val="single" w:color="auto"/>
          <w:color w:val="0000FF"/>
        </w:rPr>
        <w:t>https://events.q4inc.com/analyst/603599389?pwd=RYGqad9c</w:t>
      </w:r>
      <w:r>
        <w:rPr>
          <w:rFonts w:ascii="Arial" w:cs="Arial" w:eastAsia="Arial" w:hAnsi="Arial"/>
          <w:sz w:val="14"/>
          <w:szCs w:val="14"/>
          <w:color w:val="auto"/>
        </w:rPr>
        <w:t xml:space="preserve"> or dial +1 585 542 9983 by phone using Meeting ID: 603599389. The live listen-only webcast and replay will be available </w:t>
      </w:r>
      <w:r>
        <w:rPr>
          <w:rFonts w:ascii="Arial" w:cs="Arial" w:eastAsia="Arial" w:hAnsi="Arial"/>
          <w:sz w:val="14"/>
          <w:szCs w:val="14"/>
          <w:u w:val="single" w:color="auto"/>
          <w:color w:val="0000FF"/>
        </w:rPr>
        <w:t>ir.mrcy.com/events-presentations</w:t>
      </w:r>
      <w:r>
        <w:rPr>
          <w:rFonts w:ascii="Arial" w:cs="Arial" w:eastAsia="Arial" w:hAnsi="Arial"/>
          <w:sz w:val="14"/>
          <w:szCs w:val="14"/>
          <w:color w:val="auto"/>
        </w:rPr>
        <w:t>. A replay of the webcast will be available two hours after the call and archived on the same web page for six months.</w:t>
      </w:r>
    </w:p>
    <w:p>
      <w:pPr>
        <w:spacing w:after="0" w:line="197" w:lineRule="exact"/>
        <w:rPr>
          <w:sz w:val="20"/>
          <w:szCs w:val="20"/>
          <w:color w:val="auto"/>
        </w:rPr>
      </w:pPr>
    </w:p>
    <w:p>
      <w:pPr>
        <w:jc w:val="center"/>
        <w:ind w:right="2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100"/>
          </w:cols>
          <w:pgMar w:left="500" w:top="617" w:right="299" w:bottom="1440" w:gutter="0" w:footer="0" w:header="0"/>
        </w:sectPr>
      </w:pPr>
    </w:p>
    <w:bookmarkStart w:id="6" w:name="page7"/>
    <w:bookmarkEnd w:id="6"/>
    <w:p>
      <w:pPr>
        <w:ind w:left="7880"/>
        <w:spacing w:after="0"/>
        <w:rPr>
          <w:sz w:val="20"/>
          <w:szCs w:val="20"/>
          <w:color w:val="auto"/>
        </w:rPr>
      </w:pPr>
      <w:r>
        <w:rPr>
          <w:rFonts w:ascii="Arial" w:cs="Arial" w:eastAsia="Arial" w:hAnsi="Arial"/>
          <w:sz w:val="11"/>
          <w:szCs w:val="11"/>
          <w:color w:val="auto"/>
        </w:rPr>
        <w:t>Mercury Reports Third Quarter Fiscal 2026 Results, Page 3</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Non-GAAP Financial Measures</w:t>
      </w:r>
    </w:p>
    <w:p>
      <w:pPr>
        <w:spacing w:after="0" w:line="163" w:lineRule="exact"/>
        <w:rPr>
          <w:sz w:val="20"/>
          <w:szCs w:val="20"/>
          <w:color w:val="auto"/>
        </w:rPr>
      </w:pPr>
    </w:p>
    <w:p>
      <w:pPr>
        <w:spacing w:after="0" w:line="379" w:lineRule="auto"/>
        <w:rPr>
          <w:sz w:val="20"/>
          <w:szCs w:val="20"/>
          <w:color w:val="auto"/>
        </w:rPr>
      </w:pPr>
      <w:r>
        <w:rPr>
          <w:rFonts w:ascii="Arial" w:cs="Arial" w:eastAsia="Arial" w:hAnsi="Arial"/>
          <w:sz w:val="14"/>
          <w:szCs w:val="14"/>
          <w:color w:val="auto"/>
        </w:rPr>
        <w:t>In addition to reporting financial results in accordance with generally accepted accounting principles, or GAAP, the Company provides adjusted EBITDA, adjusted income, adjusted earnings per share (“adjusted EPS”) and free cash flow, which are non-GAAP financial measures. Adjusted EBITDA, adjusted income, and adjusted EPS exclude certain non-cash and other specified charges. The Company believes these non-GAAP financial measures are useful to help investors understand its past financial performance and prospects for the future. However, these non-GAAP measures should not be considered in isolation or as a substitute for financial information provided in accordance with GAAP. Management believes these non-GAAP measures assist in providing a more complete understanding of the Company’s underlying operational results and trends, and management uses these measures along with the corresponding GAAP financial measures to manage the Company’s business, to evaluate its performance compared to prior periods and the marketplace, and to establish operational goals. A reconciliation of GAAP to non-GAAP financial results discussed in this press release is contained in the attached exhibits.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Mercury Systems – Innovation that Matters®</w:t>
      </w:r>
    </w:p>
    <w:p>
      <w:pPr>
        <w:spacing w:after="0" w:line="163" w:lineRule="exact"/>
        <w:rPr>
          <w:sz w:val="20"/>
          <w:szCs w:val="20"/>
          <w:color w:val="auto"/>
        </w:rPr>
      </w:pPr>
    </w:p>
    <w:p>
      <w:pPr>
        <w:ind w:right="40"/>
        <w:spacing w:after="0" w:line="386" w:lineRule="auto"/>
        <w:rPr>
          <w:sz w:val="20"/>
          <w:szCs w:val="20"/>
          <w:color w:val="auto"/>
        </w:rPr>
      </w:pPr>
      <w:r>
        <w:rPr>
          <w:rFonts w:ascii="Arial" w:cs="Arial" w:eastAsia="Arial" w:hAnsi="Arial"/>
          <w:sz w:val="14"/>
          <w:szCs w:val="14"/>
          <w:color w:val="auto"/>
        </w:rPr>
        <w:t xml:space="preserve">Mercury Systems is a global technology company that delivers mission-critical processing power to the edge, making advanced technologies profoundly more accessible for today’s most challenging aerospace and defense missions. The Mercury Processing Platform allows customers to tap into innovative capabilities from silicon to system scale, turning data into decisions on timelines that matter. Mercury’s products and solutions are deployed in more than 300 programs and across 35 countries, enabling a broad range of applications in mission computing, sensor processing, command and control, and communications. Mercury is headquartered in Andover, Massachusetts, and has more than 20 locations worldwide. To learn more, visit </w:t>
      </w:r>
      <w:r>
        <w:rPr>
          <w:rFonts w:ascii="Arial" w:cs="Arial" w:eastAsia="Arial" w:hAnsi="Arial"/>
          <w:sz w:val="14"/>
          <w:szCs w:val="14"/>
          <w:u w:val="single" w:color="auto"/>
          <w:color w:val="0000FF"/>
        </w:rPr>
        <w:t>mrcy.com</w:t>
      </w:r>
      <w:r>
        <w:rPr>
          <w:rFonts w:ascii="Arial" w:cs="Arial" w:eastAsia="Arial" w:hAnsi="Arial"/>
          <w:sz w:val="14"/>
          <w:szCs w:val="14"/>
          <w:color w:val="auto"/>
          <w:highlight w:val="white"/>
        </w:rPr>
        <w:t>. (Nasdaq: MRCY)</w:t>
      </w:r>
    </w:p>
    <w:p>
      <w:pPr>
        <w:spacing w:after="0" w:line="28" w:lineRule="exact"/>
        <w:rPr>
          <w:sz w:val="20"/>
          <w:szCs w:val="20"/>
          <w:color w:val="auto"/>
        </w:rPr>
      </w:pPr>
    </w:p>
    <w:p>
      <w:pPr>
        <w:ind w:right="20"/>
        <w:spacing w:after="0" w:line="397" w:lineRule="auto"/>
        <w:rPr>
          <w:sz w:val="20"/>
          <w:szCs w:val="20"/>
          <w:color w:val="auto"/>
        </w:rPr>
      </w:pPr>
      <w:r>
        <w:rPr>
          <w:rFonts w:ascii="Arial" w:cs="Arial" w:eastAsia="Arial" w:hAnsi="Arial"/>
          <w:sz w:val="14"/>
          <w:szCs w:val="14"/>
          <w:color w:val="auto"/>
        </w:rPr>
        <w:t>Investors and others should note that we announce material financial information using our website (</w:t>
      </w:r>
      <w:r>
        <w:rPr>
          <w:rFonts w:ascii="Arial" w:cs="Arial" w:eastAsia="Arial" w:hAnsi="Arial"/>
          <w:sz w:val="14"/>
          <w:szCs w:val="14"/>
          <w:u w:val="single" w:color="auto"/>
          <w:color w:val="0000FF"/>
        </w:rPr>
        <w:t>www.mrcy.com</w:t>
      </w:r>
      <w:r>
        <w:rPr>
          <w:rFonts w:ascii="Arial" w:cs="Arial" w:eastAsia="Arial" w:hAnsi="Arial"/>
          <w:sz w:val="14"/>
          <w:szCs w:val="14"/>
          <w:color w:val="auto"/>
          <w:highlight w:val="white"/>
        </w:rPr>
        <w:t>), SEC filings, press releases, public conference calls,</w:t>
      </w:r>
      <w:r>
        <w:rPr>
          <w:rFonts w:ascii="Arial" w:cs="Arial" w:eastAsia="Arial" w:hAnsi="Arial"/>
          <w:sz w:val="14"/>
          <w:szCs w:val="14"/>
          <w:color w:val="auto"/>
        </w:rPr>
        <w:t xml:space="preserve"> webcasts, and social media, including X (</w:t>
      </w:r>
      <w:r>
        <w:rPr>
          <w:rFonts w:ascii="Arial" w:cs="Arial" w:eastAsia="Arial" w:hAnsi="Arial"/>
          <w:sz w:val="14"/>
          <w:szCs w:val="14"/>
          <w:u w:val="single" w:color="auto"/>
          <w:color w:val="0000FF"/>
        </w:rPr>
        <w:t>X.com/mrcy</w:t>
      </w:r>
      <w:r>
        <w:rPr>
          <w:rFonts w:ascii="Arial" w:cs="Arial" w:eastAsia="Arial" w:hAnsi="Arial"/>
          <w:sz w:val="14"/>
          <w:szCs w:val="14"/>
          <w:color w:val="auto"/>
          <w:highlight w:val="white"/>
        </w:rPr>
        <w:t>) and LinkedIn (</w:t>
      </w:r>
      <w:r>
        <w:rPr>
          <w:rFonts w:ascii="Arial" w:cs="Arial" w:eastAsia="Arial" w:hAnsi="Arial"/>
          <w:sz w:val="14"/>
          <w:szCs w:val="14"/>
          <w:u w:val="single" w:color="auto"/>
          <w:color w:val="0000FF"/>
          <w:highlight w:val="white"/>
        </w:rPr>
        <w:t>www.linkedin.com/company/mercury-systems</w:t>
      </w:r>
      <w:r>
        <w:rPr>
          <w:rFonts w:ascii="Arial" w:cs="Arial" w:eastAsia="Arial" w:hAnsi="Arial"/>
          <w:sz w:val="14"/>
          <w:szCs w:val="14"/>
          <w:color w:val="auto"/>
        </w:rPr>
        <w:t>). Therefore, we encourage investors and others interested in Mercury to review the information we post on the social media and other communication channels listed on our website.</w:t>
      </w:r>
    </w:p>
    <w:p>
      <w:pPr>
        <w:spacing w:after="0" w:line="192" w:lineRule="exact"/>
        <w:rPr>
          <w:sz w:val="20"/>
          <w:szCs w:val="20"/>
          <w:color w:val="auto"/>
        </w:rPr>
      </w:pPr>
    </w:p>
    <w:p>
      <w:pPr>
        <w:jc w:val="center"/>
        <w:ind w:right="20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080"/>
          </w:cols>
          <w:pgMar w:left="500" w:top="617" w:right="319" w:bottom="1440" w:gutter="0" w:footer="0" w:header="0"/>
        </w:sectPr>
      </w:pPr>
    </w:p>
    <w:bookmarkStart w:id="7" w:name="page8"/>
    <w:bookmarkEnd w:id="7"/>
    <w:p>
      <w:pPr>
        <w:ind w:left="7880"/>
        <w:spacing w:after="0"/>
        <w:rPr>
          <w:sz w:val="20"/>
          <w:szCs w:val="20"/>
          <w:color w:val="auto"/>
        </w:rPr>
      </w:pPr>
      <w:r>
        <w:rPr>
          <w:rFonts w:ascii="Arial" w:cs="Arial" w:eastAsia="Arial" w:hAnsi="Arial"/>
          <w:sz w:val="11"/>
          <w:szCs w:val="11"/>
          <w:color w:val="auto"/>
        </w:rPr>
        <w:t>Mercury Reports Third Quarter Fiscal 2026 Results, Page 4</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Safe Harbor Statement</w:t>
      </w:r>
    </w:p>
    <w:p>
      <w:pPr>
        <w:spacing w:after="0" w:line="6" w:lineRule="exact"/>
        <w:rPr>
          <w:sz w:val="20"/>
          <w:szCs w:val="20"/>
          <w:color w:val="auto"/>
        </w:rPr>
      </w:pPr>
    </w:p>
    <w:p>
      <w:pPr>
        <w:spacing w:after="0" w:line="216" w:lineRule="auto"/>
        <w:rPr>
          <w:sz w:val="20"/>
          <w:szCs w:val="20"/>
          <w:color w:val="auto"/>
        </w:rPr>
      </w:pPr>
      <w:r>
        <w:rPr>
          <w:rFonts w:ascii="Arial" w:cs="Arial" w:eastAsia="Arial" w:hAnsi="Arial"/>
          <w:sz w:val="14"/>
          <w:szCs w:val="14"/>
          <w:color w:val="auto"/>
        </w:rPr>
        <w:t>This press release contains certain forward-looking statements, as that term is defined in the Private Securities Litigation Reform Act of 1995, including those relating to the Company's focus on enhanced execution of the Company's strategic plan.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any U.S. federal government shutdown or extended continuing resolution, effects of increasingly volatile geopolitical events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the Company's products, shortages in or delays in receiving components, supply chain delays or volatility for critical components, production delays or unanticipated expenses including due to quality issues or manufacturing execution issues, failure to meet contractual performance specifications,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adverse finding in government audits or investigations,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including risks from heightened, persistent, and increasingly sophisticated nation-state level cyberattacks and emerging threats associated with agentic AI-enabled cyber tools, changes in tax rates or tax regulations, changes to interest rate swaps or other cash flow hedging arrangements, changes to generally accepted accounting principles, difficulties in retaining key employees and customers, litigation, including the federal securities class action lawsuit and related claims,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June 27, 2025 and subsequent Quarterly Reports on Form 10-Q and Current Reports on Form 8-K.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w:t>
      </w:r>
    </w:p>
    <w:p>
      <w:pPr>
        <w:spacing w:after="0" w:line="19"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auto"/>
        </w:rPr>
        <w:t># # #</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Tyler Hojo, CFA, Vice President of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Mercury Systems,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978-967-3676</w:t>
      </w: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060"/>
          </w:cols>
          <w:pgMar w:left="500" w:top="617" w:right="339" w:bottom="1440" w:gutter="0" w:footer="0" w:header="0"/>
        </w:sectPr>
      </w:pPr>
    </w:p>
    <w:bookmarkStart w:id="8" w:name="page9"/>
    <w:bookmarkEnd w:id="8"/>
    <w:p>
      <w:pPr>
        <w:ind w:left="7880"/>
        <w:spacing w:after="0"/>
        <w:rPr>
          <w:sz w:val="20"/>
          <w:szCs w:val="20"/>
          <w:color w:val="auto"/>
        </w:rPr>
      </w:pPr>
      <w:r>
        <w:rPr>
          <w:rFonts w:ascii="Arial" w:cs="Arial" w:eastAsia="Arial" w:hAnsi="Arial"/>
          <w:sz w:val="11"/>
          <w:szCs w:val="11"/>
          <w:color w:val="auto"/>
        </w:rPr>
        <w:t>Mercury Reports Third Quarter Fiscal 2026 Results, Page 5</w:t>
      </w:r>
    </w:p>
    <w:p>
      <w:pPr>
        <w:spacing w:after="0" w:line="251"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Mercury Systems and Innovation That Matters are registered trademarks of Mercury Systems, Inc. Other product and company names mentioned may be trademarks and/or registered trademarks of their respective holders.</w:t>
      </w:r>
    </w:p>
    <w:p>
      <w:pPr>
        <w:spacing w:after="0" w:line="303"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000"/>
          </w:cols>
          <w:pgMar w:left="500" w:top="617"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20" w:type="dxa"/>
            <w:vAlign w:val="bottom"/>
            <w:gridSpan w:val="4"/>
          </w:tcPr>
          <w:p>
            <w:pPr>
              <w:jc w:val="right"/>
              <w:ind w:right="332"/>
              <w:spacing w:after="0"/>
              <w:rPr>
                <w:sz w:val="20"/>
                <w:szCs w:val="20"/>
                <w:color w:val="auto"/>
              </w:rPr>
            </w:pPr>
            <w:r>
              <w:rPr>
                <w:rFonts w:ascii="Arial" w:cs="Arial" w:eastAsia="Arial" w:hAnsi="Arial"/>
                <w:sz w:val="11"/>
                <w:szCs w:val="11"/>
                <w:color w:val="auto"/>
              </w:rPr>
              <w:t>Mercury Reports Third Quarter Fiscal 2026 Results, Page 6</w:t>
            </w:r>
          </w:p>
        </w:tc>
      </w:tr>
      <w:tr>
        <w:trPr>
          <w:trHeight w:val="381"/>
        </w:trPr>
        <w:tc>
          <w:tcPr>
            <w:tcW w:w="6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MERCURY SYSTEMS, INC.</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35"/>
        </w:trPr>
        <w:tc>
          <w:tcPr>
            <w:tcW w:w="6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UNAUDITED CONSOLIDATED BALANCE SHEETS</w:t>
            </w: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35"/>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(In thousands)</w:t>
            </w: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35"/>
        </w:trPr>
        <w:tc>
          <w:tcPr>
            <w:tcW w:w="6280" w:type="dxa"/>
            <w:vAlign w:val="bottom"/>
          </w:tcPr>
          <w:p>
            <w:pPr>
              <w:spacing w:after="0"/>
              <w:rPr>
                <w:sz w:val="11"/>
                <w:szCs w:val="11"/>
                <w:color w:val="auto"/>
              </w:rPr>
            </w:pPr>
          </w:p>
        </w:tc>
        <w:tc>
          <w:tcPr>
            <w:tcW w:w="16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March 27,</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ind w:right="992"/>
              <w:spacing w:after="0"/>
              <w:rPr>
                <w:sz w:val="20"/>
                <w:szCs w:val="20"/>
                <w:color w:val="auto"/>
              </w:rPr>
            </w:pPr>
            <w:r>
              <w:rPr>
                <w:rFonts w:ascii="Times New Roman" w:cs="Times New Roman" w:eastAsia="Times New Roman" w:hAnsi="Times New Roman"/>
                <w:sz w:val="10"/>
                <w:szCs w:val="10"/>
                <w:color w:val="auto"/>
              </w:rPr>
              <w:t>June 27,</w:t>
            </w:r>
          </w:p>
        </w:tc>
      </w:tr>
      <w:tr>
        <w:trPr>
          <w:trHeight w:val="143"/>
        </w:trPr>
        <w:tc>
          <w:tcPr>
            <w:tcW w:w="62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color w:val="auto"/>
              </w:rPr>
              <w:t>2026</w:t>
            </w: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jc w:val="right"/>
              <w:ind w:right="1052"/>
              <w:spacing w:after="0"/>
              <w:rPr>
                <w:sz w:val="20"/>
                <w:szCs w:val="20"/>
                <w:color w:val="auto"/>
              </w:rPr>
            </w:pPr>
            <w:r>
              <w:rPr>
                <w:rFonts w:ascii="Times New Roman" w:cs="Times New Roman" w:eastAsia="Times New Roman" w:hAnsi="Times New Roman"/>
                <w:sz w:val="10"/>
                <w:szCs w:val="10"/>
                <w:color w:val="auto"/>
              </w:rPr>
              <w:t>2025</w:t>
            </w:r>
          </w:p>
        </w:tc>
      </w:tr>
      <w:tr>
        <w:trPr>
          <w:trHeight w:val="168"/>
        </w:trPr>
        <w:tc>
          <w:tcPr>
            <w:tcW w:w="6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Assets</w:t>
            </w: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600" w:type="dxa"/>
            <w:vAlign w:val="bottom"/>
          </w:tcPr>
          <w:p>
            <w:pPr>
              <w:jc w:val="right"/>
              <w:ind w:right="14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331,800</w:t>
            </w:r>
          </w:p>
        </w:tc>
        <w:tc>
          <w:tcPr>
            <w:tcW w:w="22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309,099</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Accounts receivable, net</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95,547</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109,588</w:t>
            </w: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Unbilled receivables and costs in excess of billings, net</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269,498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278,475</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Inventory</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361,693</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332,920</w:t>
            </w: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Prepaid income taxes</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6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56,899</w:t>
            </w:r>
          </w:p>
        </w:tc>
        <w:tc>
          <w:tcPr>
            <w:tcW w:w="2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27,639</w:t>
            </w:r>
          </w:p>
        </w:tc>
      </w:tr>
      <w:tr>
        <w:trPr>
          <w:trHeight w:val="118"/>
        </w:trPr>
        <w:tc>
          <w:tcPr>
            <w:tcW w:w="6280" w:type="dxa"/>
            <w:vAlign w:val="bottom"/>
          </w:tcPr>
          <w:p>
            <w:pPr>
              <w:ind w:left="360"/>
              <w:spacing w:after="0" w:line="104" w:lineRule="exact"/>
              <w:rPr>
                <w:sz w:val="20"/>
                <w:szCs w:val="20"/>
                <w:color w:val="auto"/>
              </w:rPr>
            </w:pPr>
            <w:r>
              <w:rPr>
                <w:rFonts w:ascii="Times New Roman" w:cs="Times New Roman" w:eastAsia="Times New Roman" w:hAnsi="Times New Roman"/>
                <w:sz w:val="10"/>
                <w:szCs w:val="10"/>
                <w:color w:val="auto"/>
              </w:rPr>
              <w:t>Total current assets</w:t>
            </w:r>
          </w:p>
        </w:tc>
        <w:tc>
          <w:tcPr>
            <w:tcW w:w="16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1,116,731</w:t>
            </w: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1,058,178</w:t>
            </w:r>
          </w:p>
        </w:tc>
      </w:tr>
      <w:tr>
        <w:trPr>
          <w:trHeight w:val="186"/>
        </w:trPr>
        <w:tc>
          <w:tcPr>
            <w:tcW w:w="6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102,592</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101,440</w:t>
            </w:r>
          </w:p>
        </w:tc>
      </w:tr>
      <w:tr>
        <w:trPr>
          <w:trHeight w:val="14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Goodwill</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942,614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938,093</w:t>
            </w: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Intangible assets, net</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185,210</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210,611</w:t>
            </w:r>
          </w:p>
        </w:tc>
      </w:tr>
      <w:tr>
        <w:trPr>
          <w:trHeight w:val="14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right-of-use assets, net</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50,094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52,264</w:t>
            </w: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Deferred tax asset</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75,964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69,016</w:t>
            </w:r>
          </w:p>
        </w:tc>
      </w:tr>
      <w:tr>
        <w:trPr>
          <w:trHeight w:val="13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non-current assets</w:t>
            </w:r>
          </w:p>
        </w:tc>
        <w:tc>
          <w:tcPr>
            <w:tcW w:w="16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8,082</w:t>
            </w:r>
          </w:p>
        </w:tc>
        <w:tc>
          <w:tcPr>
            <w:tcW w:w="22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5,162</w:t>
            </w:r>
          </w:p>
        </w:tc>
      </w:tr>
      <w:tr>
        <w:trPr>
          <w:trHeight w:val="146"/>
        </w:trPr>
        <w:tc>
          <w:tcPr>
            <w:tcW w:w="6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0"/>
                <w:szCs w:val="10"/>
                <w:color w:val="auto"/>
              </w:rPr>
              <w:t>Total assets</w:t>
            </w:r>
          </w:p>
        </w:tc>
        <w:tc>
          <w:tcPr>
            <w:tcW w:w="1600" w:type="dxa"/>
            <w:vAlign w:val="bottom"/>
            <w:tcBorders>
              <w:bottom w:val="single" w:sz="8" w:color="auto"/>
            </w:tcBorders>
          </w:tcPr>
          <w:p>
            <w:pPr>
              <w:jc w:val="right"/>
              <w:ind w:right="14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2,481,287</w:t>
            </w:r>
          </w:p>
        </w:tc>
        <w:tc>
          <w:tcPr>
            <w:tcW w:w="2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2,434,764</w:t>
            </w:r>
          </w:p>
        </w:tc>
      </w:tr>
      <w:tr>
        <w:trPr>
          <w:trHeight w:val="162"/>
        </w:trPr>
        <w:tc>
          <w:tcPr>
            <w:tcW w:w="6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Liabilities and Shareholders’ Equity</w:t>
            </w:r>
          </w:p>
        </w:tc>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4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Accounts payable</w:t>
            </w:r>
          </w:p>
        </w:tc>
        <w:tc>
          <w:tcPr>
            <w:tcW w:w="1600" w:type="dxa"/>
            <w:vAlign w:val="bottom"/>
          </w:tcPr>
          <w:p>
            <w:pPr>
              <w:jc w:val="right"/>
              <w:ind w:right="14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104,066</w:t>
            </w:r>
          </w:p>
        </w:tc>
        <w:tc>
          <w:tcPr>
            <w:tcW w:w="220" w:type="dxa"/>
            <w:vAlign w:val="bottom"/>
          </w:tcPr>
          <w:p>
            <w:pPr>
              <w:spacing w:after="0"/>
              <w:rPr>
                <w:sz w:val="11"/>
                <w:szCs w:val="11"/>
                <w:color w:val="auto"/>
              </w:rPr>
            </w:pPr>
          </w:p>
        </w:tc>
        <w:tc>
          <w:tcPr>
            <w:tcW w:w="540" w:type="dxa"/>
            <w:vAlign w:val="bottom"/>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79,116</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Accrued expenses</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69,059</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35,264</w:t>
            </w: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Due to factoring facility</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14,107</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7,879</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Accrued compensation</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36,952</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51,321</w:t>
            </w:r>
          </w:p>
        </w:tc>
      </w:tr>
      <w:tr>
        <w:trPr>
          <w:trHeight w:val="129"/>
        </w:trPr>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Deferred revenues and customer advances</w:t>
            </w:r>
          </w:p>
        </w:tc>
        <w:tc>
          <w:tcPr>
            <w:tcW w:w="1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126,312</w:t>
            </w:r>
          </w:p>
        </w:tc>
        <w:tc>
          <w:tcPr>
            <w:tcW w:w="2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126,797</w:t>
            </w:r>
          </w:p>
        </w:tc>
      </w:tr>
      <w:tr>
        <w:trPr>
          <w:trHeight w:val="130"/>
        </w:trPr>
        <w:tc>
          <w:tcPr>
            <w:tcW w:w="62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Total current liabilities</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350,496</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300,377</w:t>
            </w:r>
          </w:p>
        </w:tc>
      </w:tr>
      <w:tr>
        <w:trPr>
          <w:trHeight w:val="180"/>
        </w:trPr>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3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taxes payable</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4,046</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4,046</w:t>
            </w:r>
          </w:p>
        </w:tc>
      </w:tr>
      <w:tr>
        <w:trPr>
          <w:trHeight w:val="129"/>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Long-term debt</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591,500</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591,500</w:t>
            </w:r>
          </w:p>
        </w:tc>
      </w:tr>
      <w:tr>
        <w:trPr>
          <w:trHeight w:val="14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48,343</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52,738</w:t>
            </w:r>
          </w:p>
        </w:tc>
      </w:tr>
      <w:tr>
        <w:trPr>
          <w:trHeight w:val="129"/>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Other non-current liabilities</w:t>
            </w:r>
          </w:p>
        </w:tc>
        <w:tc>
          <w:tcPr>
            <w:tcW w:w="1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9,230</w:t>
            </w:r>
          </w:p>
        </w:tc>
        <w:tc>
          <w:tcPr>
            <w:tcW w:w="2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12,642</w:t>
            </w:r>
          </w:p>
        </w:tc>
      </w:tr>
      <w:tr>
        <w:trPr>
          <w:trHeight w:val="130"/>
        </w:trPr>
        <w:tc>
          <w:tcPr>
            <w:tcW w:w="62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Total liabilities</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1,003,615</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961,303</w:t>
            </w:r>
          </w:p>
        </w:tc>
      </w:tr>
      <w:tr>
        <w:trPr>
          <w:trHeight w:val="180"/>
        </w:trPr>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35"/>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Shareholders’ equity:</w:t>
            </w:r>
          </w:p>
        </w:tc>
        <w:tc>
          <w:tcPr>
            <w:tcW w:w="16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Preferred stock</w:t>
            </w:r>
          </w:p>
        </w:tc>
        <w:tc>
          <w:tcPr>
            <w:tcW w:w="1600" w:type="dxa"/>
            <w:vAlign w:val="bottom"/>
          </w:tcPr>
          <w:p>
            <w:pPr>
              <w:spacing w:after="0"/>
              <w:rPr>
                <w:sz w:val="11"/>
                <w:szCs w:val="1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Common stock</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w:t>
            </w:r>
          </w:p>
        </w:tc>
      </w:tr>
      <w:tr>
        <w:trPr>
          <w:trHeight w:val="129"/>
        </w:trPr>
        <w:tc>
          <w:tcPr>
            <w:tcW w:w="6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16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1,314,770</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1,287,478</w:t>
            </w:r>
          </w:p>
        </w:tc>
      </w:tr>
      <w:tr>
        <w:trPr>
          <w:trHeight w:val="141"/>
        </w:trPr>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Retained earnings</w:t>
            </w:r>
          </w:p>
        </w:tc>
        <w:tc>
          <w:tcPr>
            <w:tcW w:w="16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151,424</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181,895</w:t>
            </w:r>
          </w:p>
        </w:tc>
      </w:tr>
      <w:tr>
        <w:trPr>
          <w:trHeight w:val="129"/>
        </w:trPr>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1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10,883</w:t>
            </w:r>
          </w:p>
        </w:tc>
        <w:tc>
          <w:tcPr>
            <w:tcW w:w="2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3,498</w:t>
            </w:r>
          </w:p>
        </w:tc>
      </w:tr>
      <w:tr>
        <w:trPr>
          <w:trHeight w:val="124"/>
        </w:trPr>
        <w:tc>
          <w:tcPr>
            <w:tcW w:w="6280" w:type="dxa"/>
            <w:vAlign w:val="bottom"/>
            <w:shd w:val="clear" w:color="auto" w:fill="CCEEFF"/>
          </w:tcPr>
          <w:p>
            <w:pPr>
              <w:ind w:left="240"/>
              <w:spacing w:after="0" w:line="113" w:lineRule="exact"/>
              <w:rPr>
                <w:sz w:val="20"/>
                <w:szCs w:val="20"/>
                <w:color w:val="auto"/>
              </w:rPr>
            </w:pPr>
            <w:r>
              <w:rPr>
                <w:rFonts w:ascii="Times New Roman" w:cs="Times New Roman" w:eastAsia="Times New Roman" w:hAnsi="Times New Roman"/>
                <w:sz w:val="10"/>
                <w:szCs w:val="10"/>
                <w:color w:val="auto"/>
              </w:rPr>
              <w:t>Total shareholders’ equity</w:t>
            </w:r>
          </w:p>
        </w:tc>
        <w:tc>
          <w:tcPr>
            <w:tcW w:w="16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1,477,672</w:t>
            </w:r>
          </w:p>
        </w:tc>
        <w:tc>
          <w:tcPr>
            <w:tcW w:w="2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1,473,461</w:t>
            </w:r>
          </w:p>
        </w:tc>
      </w:tr>
      <w:tr>
        <w:trPr>
          <w:trHeight w:val="130"/>
        </w:trPr>
        <w:tc>
          <w:tcPr>
            <w:tcW w:w="62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Total liabilities and shareholders’ equity</w:t>
            </w:r>
          </w:p>
        </w:tc>
        <w:tc>
          <w:tcPr>
            <w:tcW w:w="1600" w:type="dxa"/>
            <w:vAlign w:val="bottom"/>
            <w:tcBorders>
              <w:bottom w:val="single" w:sz="8" w:color="auto"/>
            </w:tcBorders>
          </w:tcPr>
          <w:p>
            <w:pPr>
              <w:jc w:val="right"/>
              <w:ind w:right="149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2,481,287</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2,434,764</w:t>
            </w:r>
          </w:p>
        </w:tc>
      </w:tr>
      <w:tr>
        <w:trPr>
          <w:trHeight w:val="20"/>
        </w:trPr>
        <w:tc>
          <w:tcPr>
            <w:tcW w:w="6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2"/>
        </w:trPr>
        <w:tc>
          <w:tcPr>
            <w:tcW w:w="3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40" w:type="dxa"/>
            <w:vAlign w:val="bottom"/>
            <w:gridSpan w:val="4"/>
          </w:tcPr>
          <w:p>
            <w:pPr>
              <w:jc w:val="right"/>
              <w:ind w:right="320"/>
              <w:spacing w:after="0"/>
              <w:rPr>
                <w:sz w:val="20"/>
                <w:szCs w:val="20"/>
                <w:color w:val="auto"/>
              </w:rPr>
            </w:pPr>
            <w:r>
              <w:rPr>
                <w:rFonts w:ascii="Arial" w:cs="Arial" w:eastAsia="Arial" w:hAnsi="Arial"/>
                <w:sz w:val="11"/>
                <w:szCs w:val="11"/>
                <w:color w:val="auto"/>
              </w:rPr>
              <w:t>Mercury Reports Third Quarter Fiscal 2026 Results, Page 7</w:t>
            </w:r>
          </w:p>
        </w:tc>
        <w:tc>
          <w:tcPr>
            <w:tcW w:w="0" w:type="dxa"/>
            <w:vAlign w:val="bottom"/>
          </w:tcPr>
          <w:p>
            <w:pPr>
              <w:spacing w:after="0"/>
              <w:rPr>
                <w:sz w:val="1"/>
                <w:szCs w:val="1"/>
                <w:color w:val="auto"/>
              </w:rPr>
            </w:pPr>
          </w:p>
        </w:tc>
      </w:tr>
      <w:tr>
        <w:trPr>
          <w:trHeight w:val="410"/>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MERCURY SYSTEMS, INC.</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w:t>
            </w: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 except per share data)</w:t>
            </w:r>
          </w:p>
        </w:tc>
        <w:tc>
          <w:tcPr>
            <w:tcW w:w="132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Third Quarters Ended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Nine Months Ended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March 27, 2026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March 28, 2025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March 27, 2026</w:t>
            </w:r>
          </w:p>
        </w:tc>
        <w:tc>
          <w:tcPr>
            <w:tcW w:w="480" w:type="dxa"/>
            <w:vAlign w:val="bottom"/>
          </w:tcPr>
          <w:p>
            <w:pPr>
              <w:spacing w:after="0"/>
              <w:rPr>
                <w:sz w:val="12"/>
                <w:szCs w:val="12"/>
                <w:color w:val="auto"/>
              </w:rPr>
            </w:pPr>
          </w:p>
        </w:tc>
        <w:tc>
          <w:tcPr>
            <w:tcW w:w="134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March 28, 2025</w:t>
            </w: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revenues</w:t>
            </w:r>
          </w:p>
        </w:tc>
        <w:tc>
          <w:tcPr>
            <w:tcW w:w="1320" w:type="dxa"/>
            <w:vAlign w:val="bottom"/>
            <w:tcBorders>
              <w:top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235,759</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211,358</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693,840</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638,914</w:t>
            </w:r>
          </w:p>
        </w:tc>
        <w:tc>
          <w:tcPr>
            <w:tcW w:w="0" w:type="dxa"/>
            <w:vAlign w:val="bottom"/>
          </w:tcPr>
          <w:p>
            <w:pPr>
              <w:spacing w:after="0"/>
              <w:rPr>
                <w:sz w:val="1"/>
                <w:szCs w:val="1"/>
                <w:color w:val="auto"/>
              </w:rPr>
            </w:pPr>
          </w:p>
        </w:tc>
      </w:tr>
      <w:tr>
        <w:trPr>
          <w:trHeight w:val="153"/>
        </w:trPr>
        <w:tc>
          <w:tcPr>
            <w:tcW w:w="374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Cost of revenues</w:t>
            </w:r>
            <w:r>
              <w:rPr>
                <w:rFonts w:ascii="Times New Roman" w:cs="Times New Roman" w:eastAsia="Times New Roman" w:hAnsi="Times New Roman"/>
                <w:sz w:val="15"/>
                <w:szCs w:val="15"/>
                <w:color w:val="auto"/>
                <w:vertAlign w:val="superscript"/>
              </w:rPr>
              <w:t>(1)</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166,709</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154,248</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501,258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469,188</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margin</w:t>
            </w: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69,050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57,110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192,582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169,726</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ind w:left="100"/>
              <w:spacing w:after="0" w:line="153" w:lineRule="exact"/>
              <w:rPr>
                <w:sz w:val="20"/>
                <w:szCs w:val="20"/>
                <w:color w:val="auto"/>
              </w:rPr>
            </w:pPr>
            <w:r>
              <w:rPr>
                <w:rFonts w:ascii="Times New Roman" w:cs="Times New Roman" w:eastAsia="Times New Roman" w:hAnsi="Times New Roman"/>
                <w:sz w:val="12"/>
                <w:szCs w:val="12"/>
                <w:color w:val="auto"/>
              </w:rPr>
              <w:t>Selling, general and administrative</w:t>
            </w:r>
            <w:r>
              <w:rPr>
                <w:rFonts w:ascii="Times New Roman" w:cs="Times New Roman" w:eastAsia="Times New Roman" w:hAnsi="Times New Roman"/>
                <w:sz w:val="15"/>
                <w:szCs w:val="15"/>
                <w:color w:val="auto"/>
                <w:vertAlign w:val="superscript"/>
              </w:rPr>
              <w:t>(1)</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39,138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116,698</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100"/>
              <w:spacing w:after="0" w:line="153" w:lineRule="exact"/>
              <w:rPr>
                <w:sz w:val="20"/>
                <w:szCs w:val="20"/>
                <w:color w:val="auto"/>
              </w:rPr>
            </w:pPr>
            <w:r>
              <w:rPr>
                <w:rFonts w:ascii="Times New Roman" w:cs="Times New Roman" w:eastAsia="Times New Roman" w:hAnsi="Times New Roman"/>
                <w:sz w:val="12"/>
                <w:szCs w:val="12"/>
                <w:color w:val="auto"/>
              </w:rPr>
              <w:t>Research and development</w:t>
            </w:r>
            <w:r>
              <w:rPr>
                <w:rFonts w:ascii="Times New Roman" w:cs="Times New Roman" w:eastAsia="Times New Roman" w:hAnsi="Times New Roman"/>
                <w:sz w:val="15"/>
                <w:szCs w:val="15"/>
                <w:color w:val="auto"/>
                <w:vertAlign w:val="superscript"/>
              </w:rPr>
              <w:t>(1)</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15,983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43,579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55,734</w:t>
            </w:r>
          </w:p>
        </w:tc>
        <w:tc>
          <w:tcPr>
            <w:tcW w:w="0" w:type="dxa"/>
            <w:vAlign w:val="bottom"/>
          </w:tcPr>
          <w:p>
            <w:pPr>
              <w:spacing w:after="0"/>
              <w:rPr>
                <w:sz w:val="1"/>
                <w:szCs w:val="1"/>
                <w:color w:val="auto"/>
              </w:rPr>
            </w:pPr>
          </w:p>
        </w:tc>
      </w:tr>
      <w:tr>
        <w:trPr>
          <w:trHeight w:val="153"/>
        </w:trPr>
        <w:tc>
          <w:tcPr>
            <w:tcW w:w="3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29,514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32,574</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7,231</w:t>
            </w:r>
          </w:p>
        </w:tc>
        <w:tc>
          <w:tcPr>
            <w:tcW w:w="0" w:type="dxa"/>
            <w:vAlign w:val="bottom"/>
          </w:tcPr>
          <w:p>
            <w:pPr>
              <w:spacing w:after="0"/>
              <w:rPr>
                <w:sz w:val="1"/>
                <w:szCs w:val="1"/>
                <w:color w:val="auto"/>
              </w:rPr>
            </w:pPr>
          </w:p>
        </w:tc>
      </w:tr>
      <w:tr>
        <w:trPr>
          <w:trHeight w:val="153"/>
        </w:trPr>
        <w:tc>
          <w:tcPr>
            <w:tcW w:w="37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Acquisition costs and other related expenses</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63,820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74,454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206,767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212,903</w:t>
            </w:r>
          </w:p>
        </w:tc>
        <w:tc>
          <w:tcPr>
            <w:tcW w:w="0" w:type="dxa"/>
            <w:vAlign w:val="bottom"/>
          </w:tcPr>
          <w:p>
            <w:pPr>
              <w:spacing w:after="0"/>
              <w:rPr>
                <w:sz w:val="1"/>
                <w:szCs w:val="1"/>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(43,177)</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2,240</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(25,404)</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(3,093)</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2,304</w:t>
            </w:r>
          </w:p>
        </w:tc>
        <w:tc>
          <w:tcPr>
            <w:tcW w:w="1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(5,613)</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income tax provision (benefit)</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(21,818)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(36,682)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(69,241)</w:t>
            </w:r>
          </w:p>
        </w:tc>
        <w:tc>
          <w:tcPr>
            <w:tcW w:w="0" w:type="dxa"/>
            <w:vAlign w:val="bottom"/>
          </w:tcPr>
          <w:p>
            <w:pPr>
              <w:spacing w:after="0"/>
              <w:rPr>
                <w:sz w:val="1"/>
                <w:szCs w:val="1"/>
                <w:color w:val="auto"/>
              </w:rPr>
            </w:pPr>
          </w:p>
        </w:tc>
      </w:tr>
      <w:tr>
        <w:trPr>
          <w:trHeight w:val="153"/>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(2,648)</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(6,211)</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(14,967)</w:t>
            </w:r>
          </w:p>
        </w:tc>
        <w:tc>
          <w:tcPr>
            <w:tcW w:w="0" w:type="dxa"/>
            <w:vAlign w:val="bottom"/>
          </w:tcPr>
          <w:p>
            <w:pPr>
              <w:spacing w:after="0"/>
              <w:rPr>
                <w:sz w:val="1"/>
                <w:szCs w:val="1"/>
                <w:color w:val="auto"/>
              </w:rPr>
            </w:pPr>
          </w:p>
        </w:tc>
      </w:tr>
      <w:tr>
        <w:trPr>
          <w:trHeight w:val="158"/>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320" w:type="dxa"/>
            <w:vAlign w:val="bottom"/>
            <w:tcBorders>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(19,170)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(30,471)</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(54,274)</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net loss per share</w:t>
            </w:r>
          </w:p>
        </w:tc>
        <w:tc>
          <w:tcPr>
            <w:tcW w:w="1320" w:type="dxa"/>
            <w:vAlign w:val="bottom"/>
            <w:tcBorders>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net loss per share</w:t>
            </w:r>
          </w:p>
        </w:tc>
        <w:tc>
          <w:tcPr>
            <w:tcW w:w="1320" w:type="dxa"/>
            <w:vAlign w:val="bottom"/>
            <w:tcBorders>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59,422</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58,749</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59,386</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58,614</w:t>
            </w:r>
          </w:p>
        </w:tc>
        <w:tc>
          <w:tcPr>
            <w:tcW w:w="0" w:type="dxa"/>
            <w:vAlign w:val="bottom"/>
          </w:tcPr>
          <w:p>
            <w:pPr>
              <w:spacing w:after="0"/>
              <w:rPr>
                <w:sz w:val="1"/>
                <w:szCs w:val="1"/>
                <w:color w:val="auto"/>
              </w:rPr>
            </w:pPr>
          </w:p>
        </w:tc>
      </w:tr>
      <w:tr>
        <w:trPr>
          <w:trHeight w:val="169"/>
        </w:trPr>
        <w:tc>
          <w:tcPr>
            <w:tcW w:w="3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3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59,422</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58,749</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59,386</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58,614</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 Includes stock-based compensation expense, allocated as follows:</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Cost of revenues</w:t>
            </w:r>
          </w:p>
        </w:tc>
        <w:tc>
          <w:tcPr>
            <w:tcW w:w="1320" w:type="dxa"/>
            <w:vAlign w:val="bottom"/>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80" w:type="dxa"/>
            <w:vAlign w:val="bottom"/>
          </w:tcPr>
          <w:p>
            <w:pPr>
              <w:spacing w:after="0"/>
              <w:rPr>
                <w:sz w:val="13"/>
                <w:szCs w:val="13"/>
                <w:color w:val="auto"/>
              </w:rPr>
            </w:pP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12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4,573</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320" w:type="dxa"/>
            <w:vAlign w:val="bottom"/>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17,156</w:t>
            </w:r>
          </w:p>
        </w:tc>
        <w:tc>
          <w:tcPr>
            <w:tcW w:w="0" w:type="dxa"/>
            <w:vAlign w:val="bottom"/>
          </w:tcPr>
          <w:p>
            <w:pPr>
              <w:spacing w:after="0"/>
              <w:rPr>
                <w:sz w:val="1"/>
                <w:szCs w:val="1"/>
                <w:color w:val="auto"/>
              </w:rPr>
            </w:pPr>
          </w:p>
        </w:tc>
      </w:tr>
      <w:tr>
        <w:trPr>
          <w:trHeight w:val="155"/>
        </w:trPr>
        <w:tc>
          <w:tcPr>
            <w:tcW w:w="37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320" w:type="dxa"/>
            <w:vAlign w:val="bottom"/>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1,543</w:t>
            </w:r>
          </w:p>
        </w:tc>
        <w:tc>
          <w:tcPr>
            <w:tcW w:w="80" w:type="dxa"/>
            <w:vAlign w:val="bottom"/>
          </w:tcPr>
          <w:p>
            <w:pPr>
              <w:spacing w:after="0"/>
              <w:rPr>
                <w:sz w:val="13"/>
                <w:szCs w:val="13"/>
                <w:color w:val="auto"/>
              </w:rPr>
            </w:pP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1,507</w:t>
            </w:r>
          </w:p>
        </w:tc>
        <w:tc>
          <w:tcPr>
            <w:tcW w:w="12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4,765</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4,687</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40" w:type="dxa"/>
            <w:vAlign w:val="bottom"/>
            <w:gridSpan w:val="4"/>
          </w:tcPr>
          <w:p>
            <w:pPr>
              <w:jc w:val="right"/>
              <w:ind w:right="320"/>
              <w:spacing w:after="0"/>
              <w:rPr>
                <w:sz w:val="20"/>
                <w:szCs w:val="20"/>
                <w:color w:val="auto"/>
              </w:rPr>
            </w:pPr>
            <w:r>
              <w:rPr>
                <w:rFonts w:ascii="Arial" w:cs="Arial" w:eastAsia="Arial" w:hAnsi="Arial"/>
                <w:sz w:val="11"/>
                <w:szCs w:val="11"/>
                <w:color w:val="auto"/>
              </w:rPr>
              <w:t>Mercury Reports Third Quarter Fiscal 2026 Results, Page 8</w:t>
            </w:r>
          </w:p>
        </w:tc>
        <w:tc>
          <w:tcPr>
            <w:tcW w:w="0" w:type="dxa"/>
            <w:vAlign w:val="bottom"/>
          </w:tcPr>
          <w:p>
            <w:pPr>
              <w:spacing w:after="0"/>
              <w:rPr>
                <w:sz w:val="1"/>
                <w:szCs w:val="1"/>
                <w:color w:val="auto"/>
              </w:rPr>
            </w:pPr>
          </w:p>
        </w:tc>
      </w:tr>
      <w:tr>
        <w:trPr>
          <w:trHeight w:val="410"/>
        </w:trPr>
        <w:tc>
          <w:tcPr>
            <w:tcW w:w="3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MERCURY SYSTEMS, INC.</w:t>
            </w: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STATEMENTS OF CASH FLOWS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320" w:type="dxa"/>
            <w:vAlign w:val="bottom"/>
          </w:tcPr>
          <w:p>
            <w:pPr>
              <w:spacing w:after="0"/>
              <w:rPr>
                <w:sz w:val="13"/>
                <w:szCs w:val="1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Third Quarters Ended</w:t>
            </w: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color w:val="auto"/>
              </w:rPr>
              <w:t>Nine Months Ended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vMerge w:val="continue"/>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March 27, 2026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w w:val="99"/>
              </w:rPr>
              <w:t>March 28, 2025</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March 27, 2026</w:t>
            </w:r>
          </w:p>
        </w:tc>
        <w:tc>
          <w:tcPr>
            <w:tcW w:w="480" w:type="dxa"/>
            <w:vAlign w:val="bottom"/>
          </w:tcPr>
          <w:p>
            <w:pPr>
              <w:spacing w:after="0"/>
              <w:rPr>
                <w:sz w:val="12"/>
                <w:szCs w:val="12"/>
                <w:color w:val="auto"/>
              </w:rPr>
            </w:pPr>
          </w:p>
        </w:tc>
        <w:tc>
          <w:tcPr>
            <w:tcW w:w="134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March 28, 2025</w:t>
            </w:r>
          </w:p>
        </w:tc>
        <w:tc>
          <w:tcPr>
            <w:tcW w:w="0" w:type="dxa"/>
            <w:vAlign w:val="bottom"/>
          </w:tcPr>
          <w:p>
            <w:pPr>
              <w:spacing w:after="0"/>
              <w:rPr>
                <w:sz w:val="1"/>
                <w:szCs w:val="1"/>
                <w:color w:val="auto"/>
              </w:rPr>
            </w:pPr>
          </w:p>
        </w:tc>
      </w:tr>
      <w:tr>
        <w:trPr>
          <w:trHeight w:val="133"/>
        </w:trPr>
        <w:tc>
          <w:tcPr>
            <w:tcW w:w="38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3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1320" w:type="dxa"/>
            <w:vAlign w:val="bottom"/>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80" w:type="dxa"/>
            <w:vAlign w:val="bottom"/>
          </w:tcPr>
          <w:p>
            <w:pPr>
              <w:spacing w:after="0"/>
              <w:rPr>
                <w:sz w:val="13"/>
                <w:szCs w:val="13"/>
                <w:color w:val="auto"/>
              </w:rPr>
            </w:pP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(19,170)</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(30,471)</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(54,274)</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17,956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19,916</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55,169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62,058</w:t>
            </w:r>
          </w:p>
        </w:tc>
        <w:tc>
          <w:tcPr>
            <w:tcW w:w="0" w:type="dxa"/>
            <w:vAlign w:val="bottom"/>
          </w:tcPr>
          <w:p>
            <w:pPr>
              <w:spacing w:after="0"/>
              <w:rPr>
                <w:sz w:val="1"/>
                <w:szCs w:val="1"/>
                <w:color w:val="auto"/>
              </w:rPr>
            </w:pPr>
          </w:p>
        </w:tc>
      </w:tr>
      <w:tr>
        <w:trPr>
          <w:trHeight w:val="153"/>
        </w:trPr>
        <w:tc>
          <w:tcPr>
            <w:tcW w:w="3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non-cash items, net</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37,490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19,674</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(20,988)</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20,239</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73,318</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6,442</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29,974</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60,235</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100,776</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13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(20,713)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(15,705)</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 of assets and businesses, net of cash acquired</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investing activities</w:t>
            </w:r>
          </w:p>
        </w:tc>
        <w:tc>
          <w:tcPr>
            <w:tcW w:w="13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w:t>
            </w:r>
          </w:p>
        </w:tc>
        <w:tc>
          <w:tcPr>
            <w:tcW w:w="0" w:type="dxa"/>
            <w:vAlign w:val="bottom"/>
          </w:tcPr>
          <w:p>
            <w:pPr>
              <w:spacing w:after="0"/>
              <w:rPr>
                <w:sz w:val="1"/>
                <w:szCs w:val="1"/>
                <w:color w:val="auto"/>
              </w:rPr>
            </w:pPr>
          </w:p>
        </w:tc>
      </w:tr>
      <w:tr>
        <w:trPr>
          <w:trHeight w:val="124"/>
        </w:trPr>
        <w:tc>
          <w:tcPr>
            <w:tcW w:w="380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(9,678)</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(3,214)</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(22,128)</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(11,105)</w:t>
            </w:r>
          </w:p>
        </w:tc>
        <w:tc>
          <w:tcPr>
            <w:tcW w:w="0" w:type="dxa"/>
            <w:vAlign w:val="bottom"/>
          </w:tcPr>
          <w:p>
            <w:pPr>
              <w:spacing w:after="0"/>
              <w:rPr>
                <w:sz w:val="1"/>
                <w:szCs w:val="1"/>
                <w:color w:val="auto"/>
              </w:rPr>
            </w:pPr>
          </w:p>
        </w:tc>
      </w:tr>
      <w:tr>
        <w:trPr>
          <w:trHeight w:val="124"/>
        </w:trPr>
        <w:tc>
          <w:tcPr>
            <w:tcW w:w="38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1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employee stock plans</w:t>
            </w:r>
          </w:p>
        </w:tc>
        <w:tc>
          <w:tcPr>
            <w:tcW w:w="13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2,728</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1,492</w:t>
            </w:r>
          </w:p>
        </w:tc>
        <w:tc>
          <w:tcPr>
            <w:tcW w:w="0" w:type="dxa"/>
            <w:vAlign w:val="bottom"/>
          </w:tcPr>
          <w:p>
            <w:pPr>
              <w:spacing w:after="0"/>
              <w:rPr>
                <w:sz w:val="1"/>
                <w:szCs w:val="1"/>
                <w:color w:val="auto"/>
              </w:rPr>
            </w:pPr>
          </w:p>
        </w:tc>
      </w:tr>
      <w:tr>
        <w:trPr>
          <w:trHeight w:val="153"/>
        </w:trPr>
        <w:tc>
          <w:tcPr>
            <w:tcW w:w="3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Payments for retirement of common stock</w:t>
            </w:r>
          </w:p>
        </w:tc>
        <w:tc>
          <w:tcPr>
            <w:tcW w:w="13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Payments of deferred financing and offering costs</w:t>
            </w:r>
          </w:p>
        </w:tc>
        <w:tc>
          <w:tcPr>
            <w:tcW w:w="13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(3,156)</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(2,249)</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13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(15,429)</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89,301</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3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334,990</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242,565</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309,099</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180,521</w:t>
            </w: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320" w:type="dxa"/>
            <w:vAlign w:val="bottom"/>
            <w:tcBorders>
              <w:bottom w:val="single" w:sz="8" w:color="auto"/>
            </w:tcBorders>
            <w:shd w:val="clear" w:color="auto" w:fill="CCEEFF"/>
          </w:tcPr>
          <w:p>
            <w:pPr>
              <w:jc w:val="right"/>
              <w:ind w:right="11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331,800</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269,822</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331,800</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269,822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2" w:name="page13"/>
    <w:bookmarkEnd w:id="12"/>
    <w:p>
      <w:pPr>
        <w:ind w:left="8080"/>
        <w:spacing w:after="0"/>
        <w:rPr>
          <w:sz w:val="20"/>
          <w:szCs w:val="20"/>
          <w:color w:val="auto"/>
        </w:rPr>
      </w:pPr>
      <w:r>
        <w:rPr>
          <w:rFonts w:ascii="Arial" w:cs="Arial" w:eastAsia="Arial" w:hAnsi="Arial"/>
          <w:sz w:val="11"/>
          <w:szCs w:val="11"/>
          <w:color w:val="auto"/>
        </w:rPr>
        <w:t>Mercury Reports Third Quarter Fiscal 2026 Results, Page 9</w:t>
      </w:r>
    </w:p>
    <w:p>
      <w:pPr>
        <w:spacing w:after="0" w:line="245" w:lineRule="exact"/>
        <w:rPr>
          <w:sz w:val="20"/>
          <w:szCs w:val="20"/>
          <w:color w:val="auto"/>
        </w:rPr>
      </w:pPr>
    </w:p>
    <w:p>
      <w:pPr>
        <w:ind w:right="54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UNAUDITED SUPPLEMENTAL INFORMATION RECONCILIATION OF GAAP TO NON-GAAP MEASURES </w:t>
      </w:r>
      <w:r>
        <w:rPr>
          <w:rFonts w:ascii="Times New Roman" w:cs="Times New Roman" w:eastAsia="Times New Roman" w:hAnsi="Times New Roman"/>
          <w:sz w:val="12"/>
          <w:szCs w:val="12"/>
          <w:color w:val="auto"/>
        </w:rPr>
        <w:t>(In thousands, except per share data)</w:t>
      </w:r>
    </w:p>
    <w:p>
      <w:pPr>
        <w:spacing w:after="0" w:line="121"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3"/>
          <w:szCs w:val="13"/>
          <w:color w:val="auto"/>
        </w:rPr>
        <w:t>Adjusted EBITDA, a non-GAAP measure for reporting financial performance, excludes the impact of certain items and, therefore, has not been calculated in accordance with GAAP. Management believes that exclusion of these items assists in providing a more complete understanding of the Company’s underlying results and trends, and management uses these measures along with the corresponding GAAP financial measures to manage the Company’s business, to evaluate its performance compared to prior periods and the marketplace, and to establish operational goals. The adjustments to calculate this non-GAAP financial measure, and the basis for such adjustments, are outlined below:</w:t>
      </w:r>
    </w:p>
    <w:p>
      <w:pPr>
        <w:spacing w:after="0" w:line="12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3"/>
          <w:szCs w:val="13"/>
          <w:i w:val="1"/>
          <w:iCs w:val="1"/>
          <w:color w:val="auto"/>
        </w:rPr>
        <w:t>Other non-operating adjustments</w:t>
      </w:r>
      <w:r>
        <w:rPr>
          <w:rFonts w:ascii="Times New Roman" w:cs="Times New Roman" w:eastAsia="Times New Roman" w:hAnsi="Times New Roman"/>
          <w:sz w:val="13"/>
          <w:szCs w:val="13"/>
          <w:color w:val="auto"/>
        </w:rPr>
        <w:t>. The Company records other non-operating adjustments such as gains or losses on foreign currency remeasurement, investments and fixed asset sales or disposals among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adjustments. These adjustments may vary from period to period without any direct correlation to underlying operating performance.</w:t>
      </w:r>
    </w:p>
    <w:p>
      <w:pPr>
        <w:spacing w:after="0" w:line="10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3"/>
          <w:szCs w:val="13"/>
          <w:i w:val="1"/>
          <w:iCs w:val="1"/>
          <w:color w:val="auto"/>
        </w:rPr>
        <w:t>Interest income and expense</w:t>
      </w:r>
      <w:r>
        <w:rPr>
          <w:rFonts w:ascii="Times New Roman" w:cs="Times New Roman" w:eastAsia="Times New Roman" w:hAnsi="Times New Roman"/>
          <w:sz w:val="13"/>
          <w:szCs w:val="13"/>
          <w:color w:val="auto"/>
        </w:rPr>
        <w:t>. The Company receives interest income on investments and incurs interest expense on loans, financing leases and other financing arrangements. These amounts may vary from period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period due to changes in cash and debt balances and interest rates driven by general market conditions or other circumstances which may be outside of the normal course of the Company’s operations.</w:t>
      </w:r>
    </w:p>
    <w:p>
      <w:pPr>
        <w:spacing w:after="0" w:line="106" w:lineRule="exact"/>
        <w:rPr>
          <w:sz w:val="20"/>
          <w:szCs w:val="20"/>
          <w:color w:val="auto"/>
        </w:rPr>
      </w:pPr>
    </w:p>
    <w:p>
      <w:pPr>
        <w:jc w:val="both"/>
        <w:ind w:right="180"/>
        <w:spacing w:after="0" w:line="298" w:lineRule="auto"/>
        <w:rPr>
          <w:sz w:val="20"/>
          <w:szCs w:val="20"/>
          <w:color w:val="auto"/>
        </w:rPr>
      </w:pP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The Company’s GAAP tax expense can fluctuate materially from period to period due to tax adjustments that are not directly related to underlying operating performance or to the current period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operations.</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3"/>
          <w:szCs w:val="13"/>
          <w:i w:val="1"/>
          <w:iCs w:val="1"/>
          <w:color w:val="auto"/>
        </w:rPr>
        <w:t>Depreciation</w:t>
      </w:r>
      <w:r>
        <w:rPr>
          <w:rFonts w:ascii="Times New Roman" w:cs="Times New Roman" w:eastAsia="Times New Roman" w:hAnsi="Times New Roman"/>
          <w:sz w:val="13"/>
          <w:szCs w:val="13"/>
          <w:color w:val="auto"/>
        </w:rPr>
        <w:t>. The Company incurs depreciation expense related to capital assets purchased to support the ongoing operations of the business. These assets are recorded at cost or fair value and are depreciated using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straight-line method over the useful life of the asset. Purchases of such assets may vary significantly from period to period and without any direct correlation to underlying operating performance.</w:t>
      </w:r>
    </w:p>
    <w:p>
      <w:pPr>
        <w:spacing w:after="0" w:line="123"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Amortization of intangible assets. </w:t>
      </w:r>
      <w:r>
        <w:rPr>
          <w:rFonts w:ascii="Times New Roman" w:cs="Times New Roman" w:eastAsia="Times New Roman" w:hAnsi="Times New Roman"/>
          <w:sz w:val="13"/>
          <w:szCs w:val="13"/>
          <w:color w:val="auto"/>
        </w:rPr>
        <w:t>The Company incurs amortization of intangible assets primarily as a result of acquired intangible assets such as backlog, customer relationships and completed technologies but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also due to licenses, patents and other arrangements. These intangible assets are valued at the time of acquisition or upon receipt of right to use the asset, amortized over the requisite life and generally cannot be changed or influenced by management after acquisition.</w:t>
      </w:r>
    </w:p>
    <w:p>
      <w:pPr>
        <w:spacing w:after="0" w:line="122"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Restructuring and other charges. </w:t>
      </w:r>
      <w:r>
        <w:rPr>
          <w:rFonts w:ascii="Times New Roman" w:cs="Times New Roman" w:eastAsia="Times New Roman" w:hAnsi="Times New Roman"/>
          <w:sz w:val="13"/>
          <w:szCs w:val="13"/>
          <w:color w:val="auto"/>
        </w:rPr>
        <w:t>The Company incurs restructuring and other charges in connection with management’s decisions to undertake certain actions to realign operating expenses through workforce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reductions and the closure of certain Company facilities, businesses and lines of business. The Company’s adjustments reflected in restructuring and other charges are typically related to acquisitions and organizational redesign programs initiated as part of discrete post-acquisition integration activities. Management believes these items are non-routine and may not be indicative of ongoing operating results.</w:t>
      </w:r>
    </w:p>
    <w:p>
      <w:pPr>
        <w:spacing w:after="0" w:line="122"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Impairment of long-lived assets. </w:t>
      </w:r>
      <w:r>
        <w:rPr>
          <w:rFonts w:ascii="Times New Roman" w:cs="Times New Roman" w:eastAsia="Times New Roman" w:hAnsi="Times New Roman"/>
          <w:sz w:val="13"/>
          <w:szCs w:val="13"/>
          <w:color w:val="auto"/>
        </w:rPr>
        <w:t>The Company incurs impairment charges of long-lived assets based on events that may or may not be within the control of management. Management believes these items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outside the normal operations of the Company’s business and are not indicative of ongoing operating results.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280"/>
          </w:cols>
          <w:pgMar w:left="300" w:top="617" w:right="319" w:bottom="1440" w:gutter="0" w:footer="0" w:header="0"/>
        </w:sectPr>
      </w:pPr>
    </w:p>
    <w:bookmarkStart w:id="13" w:name="page14"/>
    <w:bookmarkEnd w:id="13"/>
    <w:p>
      <w:pPr>
        <w:ind w:left="8020"/>
        <w:spacing w:after="0"/>
        <w:rPr>
          <w:sz w:val="20"/>
          <w:szCs w:val="20"/>
          <w:color w:val="auto"/>
        </w:rPr>
      </w:pPr>
      <w:r>
        <w:rPr>
          <w:rFonts w:ascii="Arial" w:cs="Arial" w:eastAsia="Arial" w:hAnsi="Arial"/>
          <w:sz w:val="11"/>
          <w:szCs w:val="11"/>
          <w:color w:val="auto"/>
        </w:rPr>
        <w:t>Mercury Reports Third Quarter Fiscal 2026 Results, Page 10</w:t>
      </w:r>
    </w:p>
    <w:p>
      <w:pPr>
        <w:spacing w:after="0" w:line="2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i w:val="1"/>
          <w:iCs w:val="1"/>
          <w:color w:val="auto"/>
        </w:rPr>
        <w:t>Acquisition, financing and other third party costs</w:t>
      </w:r>
      <w:r>
        <w:rPr>
          <w:rFonts w:ascii="Times New Roman" w:cs="Times New Roman" w:eastAsia="Times New Roman" w:hAnsi="Times New Roman"/>
          <w:sz w:val="13"/>
          <w:szCs w:val="13"/>
          <w:color w:val="auto"/>
        </w:rPr>
        <w:t>. The Company incurs transaction costs related to acquisition and potential acquisition opportunities, such as legal, accounting, and other third party advisory fees.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 may also incur third party costs, such as legal, banking, communications, proxy solicitation, and other third party advisory fees in connection with engagements by activist investors or unsolicited acquisition offers. Although the Company may incur such third party costs and other related charges and adjustments, it is not indicative that any transaction will be consummated. Additionally, the Company incurs unused revolver and bank fees associated with maintaining its credit facility as well as non-cash financing expenses associated with obtaining its credit facility. Management believes these items are outside the normal operations of the Company’s business and are not indicative of ongoing operating results.</w:t>
      </w:r>
    </w:p>
    <w:p>
      <w:pPr>
        <w:spacing w:after="0" w:line="138"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Fair value adjustments from purchase accounting. </w:t>
      </w:r>
      <w:r>
        <w:rPr>
          <w:rFonts w:ascii="Times New Roman" w:cs="Times New Roman" w:eastAsia="Times New Roman" w:hAnsi="Times New Roman"/>
          <w:sz w:val="13"/>
          <w:szCs w:val="13"/>
          <w:color w:val="auto"/>
        </w:rPr>
        <w:t>As a result of applying purchase accounting rules to acquired assets and liabilities, certain fair value adjustments are recorded in the opening balance sheet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acquired companies. These adjustments are then reflected in the Company’s income statements in periods subsequent to the acquisition. In addition, the impact of any changes to originally recorded contingent consideration amounts are reflected in the income statements in the period of the change. Management believes these items are outside the normal operations of the Company and are not indicative of ongoing operating results.</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Litigation and settlement income and expense. </w:t>
      </w:r>
      <w:r>
        <w:rPr>
          <w:rFonts w:ascii="Times New Roman" w:cs="Times New Roman" w:eastAsia="Times New Roman" w:hAnsi="Times New Roman"/>
          <w:sz w:val="13"/>
          <w:szCs w:val="13"/>
          <w:color w:val="auto"/>
        </w:rPr>
        <w:t>The Company periodically receives income and incurs expenses related to pending claims and litigation and associated legal fees and potential case settlements and/or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judgments. Although the Company may incur such costs and other related charges and adjustments, it is not indicative of any particular outcome until the matter is fully resolved. Management believes these items are outside the normal operations of the Company’s business, often occur in periods other than the period of activity, and are not indicative of ongoing operating results. The Company periodically receives warranty claims from customers and makes warranty claims towards its vendors and supply chain. Management believes the expenses and gains associated with these recurring warranty items are within the normal operations and operating cycle of the Company’s business. Therefore, management deems no adjustments are necessary unless under extraordinary circumstances.</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Stock-based and other non-cash compensation expense. </w:t>
      </w:r>
      <w:r>
        <w:rPr>
          <w:rFonts w:ascii="Times New Roman" w:cs="Times New Roman" w:eastAsia="Times New Roman" w:hAnsi="Times New Roman"/>
          <w:sz w:val="13"/>
          <w:szCs w:val="13"/>
          <w:color w:val="auto"/>
        </w:rPr>
        <w:t>The Company incurs expense related to stock-based compensation included in its GAAP presentation of cost of revenues, selling, general and administrative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expense and research and development expense. The Company also incurs non-cash based compensation in the form of pension related expenses and matching contributions to its defined contribution plan. Although stock-based and other non-cash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as well as pension actuarial assumptions. Management believes that exclusion of these expenses allows comparisons of operating results to those of other companies, both public, private or foreign, that disclose non-GAAP financial measures that exclude stock-based compensation and other non-cash compensation.</w:t>
      </w:r>
    </w:p>
    <w:p>
      <w:pPr>
        <w:spacing w:after="0" w:line="14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3"/>
          <w:szCs w:val="13"/>
          <w:color w:val="auto"/>
        </w:rPr>
        <w:t>Mercury uses adjusted EBITDA as an important indicator of the operating performance of its business. Management excludes the above-described items from its internal forecasts and models when establishing internal operating budgets, supplementing the financial results and forecasts reported to the Company’s board of directors, determining a portion of bonus compensation for executive officers and other key employees based on operating performance, evaluating short-term and long-term operating trends in the Company’s operations, and allocating resources to various initiatives and operational requirements. The Company believes that adjusted EBITDA permits a comparative assessment of its operating performance, relative to its performance based on its GAAP results, while isolating the effects of charges that may vary from period to period without direct correlation to underlying operating performance. The Company believes that these non-GAAP financial adjustments are useful to investors because they allow investors to evaluate the effectiveness of the methodology and information used by management in its financial and operational decision-making. The Company believes that trends in its adjusted EBITDA are valuable indicators of its operating performance.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280"/>
          </w:cols>
          <w:pgMar w:left="300" w:top="617" w:right="319" w:bottom="1440" w:gutter="0" w:footer="0" w:header="0"/>
        </w:sectPr>
      </w:pPr>
    </w:p>
    <w:bookmarkStart w:id="14" w:name="page15"/>
    <w:bookmarkEnd w:id="14"/>
    <w:p>
      <w:pPr>
        <w:ind w:left="8020"/>
        <w:spacing w:after="0"/>
        <w:rPr>
          <w:sz w:val="20"/>
          <w:szCs w:val="20"/>
          <w:color w:val="auto"/>
        </w:rPr>
      </w:pPr>
      <w:r>
        <w:rPr>
          <w:rFonts w:ascii="Arial" w:cs="Arial" w:eastAsia="Arial" w:hAnsi="Arial"/>
          <w:sz w:val="11"/>
          <w:szCs w:val="11"/>
          <w:color w:val="auto"/>
        </w:rPr>
        <w:t>Mercury Reports Third Quarter Fiscal 2026 Results, Page 11</w:t>
      </w:r>
    </w:p>
    <w:p>
      <w:pPr>
        <w:spacing w:after="0" w:line="200" w:lineRule="exact"/>
        <w:rPr>
          <w:sz w:val="20"/>
          <w:szCs w:val="20"/>
          <w:color w:val="auto"/>
        </w:rPr>
      </w:pPr>
    </w:p>
    <w:p>
      <w:pPr>
        <w:spacing w:after="0" w:line="20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3"/>
          <w:szCs w:val="13"/>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expenses similar to the adjusted EBITDA financial adjustments described above, and investors should not infer from the Company’s presentation of this non-GAAP financial measure that these costs are unusual, infrequent or non-recurring.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reconciles the most directly comparable GAAP financial measure to the non-GAAP financial measure.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Third Quarters Ended</w:t>
            </w:r>
          </w:p>
        </w:tc>
        <w:tc>
          <w:tcPr>
            <w:tcW w:w="1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Nine Months Ended</w:t>
            </w:r>
          </w:p>
        </w:tc>
        <w:tc>
          <w:tcPr>
            <w:tcW w:w="1340" w:type="dxa"/>
            <w:vAlign w:val="bottom"/>
            <w:tcBorders>
              <w:bottom w:val="single" w:sz="8" w:color="auto"/>
            </w:tcBorders>
          </w:tcPr>
          <w:p>
            <w:pPr>
              <w:spacing w:after="0"/>
              <w:rPr>
                <w:sz w:val="13"/>
                <w:szCs w:val="13"/>
                <w:color w:val="auto"/>
              </w:rPr>
            </w:pPr>
          </w:p>
        </w:tc>
      </w:tr>
      <w:tr>
        <w:trPr>
          <w:trHeight w:val="142"/>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March 27, 2026</w:t>
            </w:r>
          </w:p>
        </w:tc>
        <w:tc>
          <w:tcPr>
            <w:tcW w:w="500" w:type="dxa"/>
            <w:vAlign w:val="bottom"/>
          </w:tcPr>
          <w:p>
            <w:pPr>
              <w:spacing w:after="0"/>
              <w:rPr>
                <w:sz w:val="12"/>
                <w:szCs w:val="12"/>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March 28, 2025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27, 2026</w:t>
            </w:r>
          </w:p>
        </w:tc>
        <w:tc>
          <w:tcPr>
            <w:tcW w:w="480" w:type="dxa"/>
            <w:vAlign w:val="bottom"/>
          </w:tcPr>
          <w:p>
            <w:pPr>
              <w:spacing w:after="0"/>
              <w:rPr>
                <w:sz w:val="12"/>
                <w:szCs w:val="12"/>
                <w:color w:val="auto"/>
              </w:rPr>
            </w:pPr>
          </w:p>
        </w:tc>
        <w:tc>
          <w:tcPr>
            <w:tcW w:w="134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March 28, 2025</w:t>
            </w:r>
          </w:p>
        </w:tc>
      </w:tr>
      <w:tr>
        <w:trPr>
          <w:trHeight w:val="142"/>
        </w:trPr>
        <w:tc>
          <w:tcPr>
            <w:tcW w:w="37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(19,170)</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(30,471)</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(54,274)</w:t>
            </w:r>
          </w:p>
        </w:tc>
      </w:tr>
      <w:tr>
        <w:trPr>
          <w:trHeight w:val="153"/>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non-operating adjustments, net</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 net</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23,164</w:t>
            </w:r>
          </w:p>
        </w:tc>
      </w:tr>
      <w:tr>
        <w:trPr>
          <w:trHeight w:val="153"/>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(14,967)</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29,484</w:t>
            </w:r>
          </w:p>
        </w:tc>
      </w:tr>
      <w:tr>
        <w:trPr>
          <w:trHeight w:val="153"/>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10,185</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29,514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32,574</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7,231</w:t>
            </w:r>
          </w:p>
        </w:tc>
      </w:tr>
      <w:tr>
        <w:trPr>
          <w:trHeight w:val="153"/>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Impairment of long-lived asset</w:t>
            </w:r>
          </w:p>
        </w:tc>
        <w:tc>
          <w:tcPr>
            <w:tcW w:w="300" w:type="dxa"/>
            <w:vAlign w:val="bottom"/>
          </w:tcPr>
          <w:p>
            <w:pPr>
              <w:spacing w:after="0"/>
              <w:rPr>
                <w:sz w:val="13"/>
                <w:szCs w:val="13"/>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Acquisition, financing and other third party costs</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4,512</w:t>
            </w:r>
          </w:p>
        </w:tc>
      </w:tr>
      <w:tr>
        <w:trPr>
          <w:trHeight w:val="153"/>
        </w:trPr>
        <w:tc>
          <w:tcPr>
            <w:tcW w:w="3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Fair value adjustments from purchase accounting</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r>
      <w:tr>
        <w:trPr>
          <w:trHeight w:val="153"/>
        </w:trPr>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Litigation and settlement expense, net</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5,467</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8,948</w:t>
            </w:r>
          </w:p>
        </w:tc>
      </w:tr>
      <w:tr>
        <w:trPr>
          <w:trHeight w:val="153"/>
        </w:trPr>
        <w:tc>
          <w:tcPr>
            <w:tcW w:w="3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Stock-based and other non-cash compensation expense</w:t>
            </w: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10,768</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12,124</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42,381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34,108</w:t>
            </w:r>
          </w:p>
        </w:tc>
      </w:tr>
      <w:tr>
        <w:trPr>
          <w:trHeight w:val="158"/>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36,091</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24,690</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101,674</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68,169</w:t>
            </w:r>
          </w:p>
        </w:tc>
      </w:tr>
    </w:tbl>
    <w:p>
      <w:pPr>
        <w:spacing w:after="0" w:line="2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3"/>
          <w:szCs w:val="13"/>
          <w:color w:val="auto"/>
        </w:rPr>
        <w:t>Free cash flow, a non-GAAP measure for reporting cash flow, is defined as cash provided by operating activities less capital expenditures for property and equipment, which includes capitalized software development costs, and, therefore, has not been calculated in accordance with GAAP. Management believes free cash flow provides investors with an important perspective on cash available for investment and acquisitions after making capital investments required to support ongoing business operations and long-term value creation. The Company believes that trends in its free cash flow are valuable indicators of its operating performance and liquidity.</w:t>
      </w:r>
    </w:p>
    <w:p>
      <w:pPr>
        <w:spacing w:after="0" w:line="1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expenditures similar to the free cash flow financial adjustment described above, and investors should not infer from the Company’s presentation of this non-GAAP financial measure that these expenditures reflect all of the Company's obligations which require cash.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5" w:name="page16"/>
    <w:bookmarkEnd w:id="15"/>
    <w:p>
      <w:pPr>
        <w:ind w:left="8020"/>
        <w:spacing w:after="0"/>
        <w:rPr>
          <w:sz w:val="20"/>
          <w:szCs w:val="20"/>
          <w:color w:val="auto"/>
        </w:rPr>
      </w:pPr>
      <w:r>
        <w:rPr>
          <w:rFonts w:ascii="Arial" w:cs="Arial" w:eastAsia="Arial" w:hAnsi="Arial"/>
          <w:sz w:val="11"/>
          <w:szCs w:val="11"/>
          <w:color w:val="auto"/>
        </w:rPr>
        <w:t>Mercury Reports Third Quarter Fiscal 2026 Results, Page 12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reconciles the most directly comparable GAAP financial measure to the non-GAAP financial measure.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7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Third Quarters Ended</w:t>
            </w:r>
          </w:p>
        </w:tc>
        <w:tc>
          <w:tcPr>
            <w:tcW w:w="1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Nine Months Ended</w:t>
            </w:r>
          </w:p>
        </w:tc>
        <w:tc>
          <w:tcPr>
            <w:tcW w:w="1340" w:type="dxa"/>
            <w:vAlign w:val="bottom"/>
            <w:tcBorders>
              <w:bottom w:val="single" w:sz="8" w:color="auto"/>
            </w:tcBorders>
          </w:tcPr>
          <w:p>
            <w:pPr>
              <w:spacing w:after="0"/>
              <w:rPr>
                <w:sz w:val="13"/>
                <w:szCs w:val="13"/>
                <w:color w:val="auto"/>
              </w:rPr>
            </w:pPr>
          </w:p>
        </w:tc>
      </w:tr>
      <w:tr>
        <w:trPr>
          <w:trHeight w:val="142"/>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March 27, 2026</w:t>
            </w:r>
          </w:p>
        </w:tc>
        <w:tc>
          <w:tcPr>
            <w:tcW w:w="5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 28, 2025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March 27, 2026</w:t>
            </w:r>
          </w:p>
        </w:tc>
        <w:tc>
          <w:tcPr>
            <w:tcW w:w="480" w:type="dxa"/>
            <w:vAlign w:val="bottom"/>
          </w:tcPr>
          <w:p>
            <w:pPr>
              <w:spacing w:after="0"/>
              <w:rPr>
                <w:sz w:val="12"/>
                <w:szCs w:val="12"/>
                <w:color w:val="auto"/>
              </w:rPr>
            </w:pPr>
          </w:p>
        </w:tc>
        <w:tc>
          <w:tcPr>
            <w:tcW w:w="1340" w:type="dxa"/>
            <w:vAlign w:val="bottom"/>
          </w:tcPr>
          <w:p>
            <w:pPr>
              <w:jc w:val="right"/>
              <w:ind w:right="480"/>
              <w:spacing w:after="0"/>
              <w:rPr>
                <w:sz w:val="20"/>
                <w:szCs w:val="20"/>
                <w:color w:val="auto"/>
              </w:rPr>
            </w:pPr>
            <w:r>
              <w:rPr>
                <w:rFonts w:ascii="Times New Roman" w:cs="Times New Roman" w:eastAsia="Times New Roman" w:hAnsi="Times New Roman"/>
                <w:sz w:val="12"/>
                <w:szCs w:val="12"/>
                <w:color w:val="auto"/>
              </w:rPr>
              <w:t>March 28, 2025</w:t>
            </w:r>
          </w:p>
        </w:tc>
      </w:tr>
      <w:tr>
        <w:trPr>
          <w:trHeight w:val="142"/>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center"/>
              <w:ind w:left="1080"/>
              <w:spacing w:after="0"/>
              <w:rPr>
                <w:sz w:val="20"/>
                <w:szCs w:val="20"/>
                <w:color w:val="auto"/>
              </w:rPr>
            </w:pPr>
            <w:r>
              <w:rPr>
                <w:rFonts w:ascii="Times New Roman" w:cs="Times New Roman" w:eastAsia="Times New Roman" w:hAnsi="Times New Roman"/>
                <w:sz w:val="12"/>
                <w:szCs w:val="12"/>
                <w:color w:val="auto"/>
                <w:w w:val="96"/>
              </w:rPr>
              <w:t>6,442</w:t>
            </w: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29,974</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tcBorders>
            <w:shd w:val="clear" w:color="auto" w:fill="CCEEFF"/>
          </w:tcPr>
          <w:p>
            <w:pPr>
              <w:jc w:val="center"/>
              <w:ind w:left="1060"/>
              <w:spacing w:after="0"/>
              <w:rPr>
                <w:sz w:val="20"/>
                <w:szCs w:val="20"/>
                <w:color w:val="auto"/>
              </w:rPr>
            </w:pPr>
            <w:r>
              <w:rPr>
                <w:rFonts w:ascii="Times New Roman" w:cs="Times New Roman" w:eastAsia="Times New Roman" w:hAnsi="Times New Roman"/>
                <w:sz w:val="12"/>
                <w:szCs w:val="12"/>
                <w:color w:val="auto"/>
                <w:w w:val="96"/>
              </w:rPr>
              <w:t>60,235</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100,776</w:t>
            </w:r>
          </w:p>
        </w:tc>
      </w:tr>
      <w:tr>
        <w:trPr>
          <w:trHeight w:val="153"/>
        </w:trPr>
        <w:tc>
          <w:tcPr>
            <w:tcW w:w="3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2"/>
                <w:szCs w:val="12"/>
                <w:color w:val="auto"/>
              </w:rPr>
              <w:t>(8,263)</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2"/>
                <w:szCs w:val="12"/>
                <w:color w:val="auto"/>
                <w:w w:val="97"/>
              </w:rPr>
              <w:t>(5,914)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left="1040"/>
              <w:spacing w:after="0"/>
              <w:rPr>
                <w:sz w:val="20"/>
                <w:szCs w:val="20"/>
                <w:color w:val="auto"/>
              </w:rPr>
            </w:pPr>
            <w:r>
              <w:rPr>
                <w:rFonts w:ascii="Times New Roman" w:cs="Times New Roman" w:eastAsia="Times New Roman" w:hAnsi="Times New Roman"/>
                <w:sz w:val="12"/>
                <w:szCs w:val="12"/>
                <w:color w:val="auto"/>
              </w:rPr>
              <w:t>(20,713)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(15,705)</w:t>
            </w:r>
          </w:p>
        </w:tc>
      </w:tr>
      <w:tr>
        <w:trPr>
          <w:trHeight w:val="158"/>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center"/>
              <w:ind w:left="1060"/>
              <w:spacing w:after="0"/>
              <w:rPr>
                <w:sz w:val="20"/>
                <w:szCs w:val="20"/>
                <w:color w:val="auto"/>
              </w:rPr>
            </w:pPr>
            <w:r>
              <w:rPr>
                <w:rFonts w:ascii="Times New Roman" w:cs="Times New Roman" w:eastAsia="Times New Roman" w:hAnsi="Times New Roman"/>
                <w:sz w:val="12"/>
                <w:szCs w:val="12"/>
                <w:color w:val="auto"/>
              </w:rPr>
              <w:t>(1,821)</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24,060</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center"/>
              <w:ind w:left="1060"/>
              <w:spacing w:after="0"/>
              <w:rPr>
                <w:sz w:val="20"/>
                <w:szCs w:val="20"/>
                <w:color w:val="auto"/>
              </w:rPr>
            </w:pPr>
            <w:r>
              <w:rPr>
                <w:rFonts w:ascii="Times New Roman" w:cs="Times New Roman" w:eastAsia="Times New Roman" w:hAnsi="Times New Roman"/>
                <w:sz w:val="12"/>
                <w:szCs w:val="12"/>
                <w:color w:val="auto"/>
                <w:w w:val="96"/>
              </w:rPr>
              <w:t>39,522</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85,071</w:t>
            </w:r>
          </w:p>
        </w:tc>
      </w:tr>
    </w:tbl>
    <w:p>
      <w:pPr>
        <w:spacing w:after="0" w:line="2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3"/>
          <w:szCs w:val="13"/>
          <w:color w:val="auto"/>
        </w:rPr>
        <w:t>Adjusted income and adjusted earnings per share (“adjusted EPS”) are non-GAAP measures for reporting financial performance, exclude the impact of certain items and, therefore, have not been calculated in accordance with GAAP. Management believes that exclusion of these items assists in providing a more complete understanding of the Company’s underlying results and trends and allows for comparability with its peer company index and industry. These non-GAAP financial measures may not be computed in the same manner as similarly titled measures used by other companies. The Company uses these measures along with the corresponding GAAP financial measures to manage the Company’s business and to evaluate its performance compared to prior periods and the marketplace. The Company defines adjusted income as income before other non-operating adjustments, amortization of intangible assets, restructuring and other charges, impairment of long-lived assets, acquisition, financing and other third party costs, fair value adjustments from purchase accounting, litigation and settlement income and expense, and stock-based and other non-cash compensation expense. The impact to income taxes includes the impact to the effective tax rate, current tax provision and deferred tax provision</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 Adjusted EPS expresses adjusted income on a per share basis using weighted average diluted shares outstanding.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reconcile the most directly comparable GAAP financial measures to the non-GAAP financial measures.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2"/>
                <w:szCs w:val="12"/>
                <w:color w:val="auto"/>
              </w:rPr>
              <w:t>Third Quarters Ended</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March 27, 2026</w:t>
            </w:r>
          </w:p>
        </w:tc>
        <w:tc>
          <w:tcPr>
            <w:tcW w:w="6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March 28, 2025</w:t>
            </w:r>
          </w:p>
        </w:tc>
        <w:tc>
          <w:tcPr>
            <w:tcW w:w="680" w:type="dxa"/>
            <w:vAlign w:val="bottom"/>
            <w:tcBorders>
              <w:bottom w:val="single" w:sz="8" w:color="auto"/>
            </w:tcBorders>
          </w:tcPr>
          <w:p>
            <w:pPr>
              <w:spacing w:after="0"/>
              <w:rPr>
                <w:sz w:val="12"/>
                <w:szCs w:val="12"/>
                <w:color w:val="auto"/>
              </w:rPr>
            </w:pPr>
          </w:p>
        </w:tc>
      </w:tr>
      <w:tr>
        <w:trPr>
          <w:trHeight w:val="14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and loss per share</w:t>
            </w: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(19,170)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r>
      <w:tr>
        <w:trPr>
          <w:trHeight w:val="153"/>
        </w:trPr>
        <w:tc>
          <w:tcPr>
            <w:tcW w:w="5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non-operating adjustments, net</w:t>
            </w: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3"/>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9,561</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10,185</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5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3"/>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5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5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financing and other third party costs</w:t>
            </w: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3"/>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Fair value adjustments from purchase accounting</w:t>
            </w: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57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Litigation and settlement expense, net</w:t>
            </w: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2,120</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3"/>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and other non-cash compensation expense</w:t>
            </w: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10,768</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12,124</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5760" w:type="dxa"/>
            <w:vAlign w:val="bottom"/>
            <w:tcBorders>
              <w:bottom w:val="single" w:sz="8" w:color="CCEEFF"/>
            </w:tcBorders>
          </w:tcPr>
          <w:p>
            <w:pPr>
              <w:ind w:left="100"/>
              <w:spacing w:after="0" w:line="153" w:lineRule="exact"/>
              <w:rPr>
                <w:sz w:val="20"/>
                <w:szCs w:val="20"/>
                <w:color w:val="auto"/>
              </w:rPr>
            </w:pPr>
            <w:r>
              <w:rPr>
                <w:rFonts w:ascii="Times New Roman" w:cs="Times New Roman" w:eastAsia="Times New Roman" w:hAnsi="Times New Roman"/>
                <w:sz w:val="12"/>
                <w:szCs w:val="12"/>
                <w:color w:val="auto"/>
              </w:rPr>
              <w:t>Impact to income taxes</w:t>
            </w:r>
            <w:r>
              <w:rPr>
                <w:rFonts w:ascii="Times New Roman" w:cs="Times New Roman" w:eastAsia="Times New Roman" w:hAnsi="Times New Roman"/>
                <w:sz w:val="15"/>
                <w:szCs w:val="15"/>
                <w:color w:val="auto"/>
                <w:vertAlign w:val="superscript"/>
              </w:rPr>
              <w:t>(1)</w:t>
            </w: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(6,279)</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8"/>
        </w:trPr>
        <w:tc>
          <w:tcPr>
            <w:tcW w:w="57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Adjusted income and adjusted earnings per share</w:t>
            </w:r>
            <w:r>
              <w:rPr>
                <w:rFonts w:ascii="Times New Roman" w:cs="Times New Roman" w:eastAsia="Times New Roman" w:hAnsi="Times New Roman"/>
                <w:sz w:val="15"/>
                <w:szCs w:val="15"/>
                <w:color w:val="auto"/>
                <w:vertAlign w:val="superscript"/>
              </w:rPr>
              <w:t>(2)</w:t>
            </w: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16,419</w:t>
            </w: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3,589</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90"/>
        </w:trPr>
        <w:tc>
          <w:tcPr>
            <w:tcW w:w="5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169"/>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weighted-average shares outstanding</w:t>
            </w:r>
          </w:p>
        </w:tc>
        <w:tc>
          <w:tcPr>
            <w:tcW w:w="5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60,776</w:t>
            </w: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59,367</w:t>
            </w:r>
          </w:p>
        </w:tc>
      </w:tr>
    </w:tbl>
    <w:p>
      <w:pPr>
        <w:spacing w:after="0" w:line="178" w:lineRule="exact"/>
        <w:rPr>
          <w:sz w:val="20"/>
          <w:szCs w:val="20"/>
          <w:color w:val="auto"/>
        </w:rPr>
      </w:pPr>
    </w:p>
    <w:p>
      <w:pPr>
        <w:ind w:right="260" w:firstLine="4"/>
        <w:spacing w:after="0" w:line="236" w:lineRule="auto"/>
        <w:tabs>
          <w:tab w:leader="none" w:pos="17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 to income taxes is calculated by recasting income before income taxes to include the items involved in determining adjusted income and recalculating the income tax provision using this adjusted income from operations before income taxes. The recalculation also adjusts for any discrete tax provision or benefit related to the items.</w:t>
      </w:r>
    </w:p>
    <w:p>
      <w:pPr>
        <w:spacing w:after="0" w:line="7" w:lineRule="exact"/>
        <w:rPr>
          <w:rFonts w:ascii="Times New Roman" w:cs="Times New Roman" w:eastAsia="Times New Roman" w:hAnsi="Times New Roman"/>
          <w:sz w:val="12"/>
          <w:szCs w:val="12"/>
          <w:color w:val="auto"/>
        </w:rPr>
      </w:pPr>
    </w:p>
    <w:p>
      <w:pPr>
        <w:ind w:right="180" w:firstLine="4"/>
        <w:spacing w:after="0" w:line="236" w:lineRule="auto"/>
        <w:tabs>
          <w:tab w:leader="none" w:pos="17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earnings per share is calculated using diluted shares whereas Net loss per share is calculated using basic shares. There was a $0.01 impact and no impact to the calculation of adjusted earnings per share as a result of this for the third quarters ended March 27, 2026 and March 28, 2025,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6" w:name="page17"/>
    <w:bookmarkEnd w:id="16"/>
    <w:p>
      <w:pPr>
        <w:ind w:left="8020"/>
        <w:spacing w:after="0"/>
        <w:rPr>
          <w:sz w:val="20"/>
          <w:szCs w:val="20"/>
          <w:color w:val="auto"/>
        </w:rPr>
      </w:pPr>
      <w:r>
        <w:rPr>
          <w:rFonts w:ascii="Arial" w:cs="Arial" w:eastAsia="Arial" w:hAnsi="Arial"/>
          <w:sz w:val="11"/>
          <w:szCs w:val="11"/>
          <w:color w:val="auto"/>
        </w:rPr>
        <w:t>Mercury Reports Third Quarter Fiscal 2026 Results, Page 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2"/>
                <w:szCs w:val="12"/>
                <w:color w:val="auto"/>
              </w:rPr>
              <w:t>Nine Months Ended</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rPr>
              <w:t>March 27, 2026</w:t>
            </w: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March 28, 2025</w:t>
            </w:r>
          </w:p>
        </w:tc>
        <w:tc>
          <w:tcPr>
            <w:tcW w:w="600" w:type="dxa"/>
            <w:vAlign w:val="bottom"/>
            <w:tcBorders>
              <w:bottom w:val="single" w:sz="8" w:color="auto"/>
            </w:tcBorders>
          </w:tcPr>
          <w:p>
            <w:pPr>
              <w:spacing w:after="0"/>
              <w:rPr>
                <w:sz w:val="12"/>
                <w:szCs w:val="12"/>
                <w:color w:val="auto"/>
              </w:rPr>
            </w:pPr>
          </w:p>
        </w:tc>
      </w:tr>
      <w:tr>
        <w:trPr>
          <w:trHeight w:val="14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and loss per share</w:t>
            </w: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(30,471)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(0.93)</w:t>
            </w:r>
          </w:p>
        </w:tc>
      </w:tr>
      <w:tr>
        <w:trPr>
          <w:trHeight w:val="153"/>
        </w:trPr>
        <w:tc>
          <w:tcPr>
            <w:tcW w:w="6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non-operating adjustments, net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2,894</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(3,097)</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29,514</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32,574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3"/>
        </w:trPr>
        <w:tc>
          <w:tcPr>
            <w:tcW w:w="6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Restructuring and other charges</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4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3"/>
        </w:trPr>
        <w:tc>
          <w:tcPr>
            <w:tcW w:w="6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financing and other third party costs</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3,412</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Fair value adjustments from purchase accounting</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3"/>
        </w:trPr>
        <w:tc>
          <w:tcPr>
            <w:tcW w:w="6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Litigation and settlement expense, net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11,631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3"/>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and other non-cash compensation expense</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42,381</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34,108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3"/>
        </w:trPr>
        <w:tc>
          <w:tcPr>
            <w:tcW w:w="6260" w:type="dxa"/>
            <w:vAlign w:val="bottom"/>
            <w:tcBorders>
              <w:bottom w:val="single" w:sz="8" w:color="CCEEFF"/>
            </w:tcBorders>
          </w:tcPr>
          <w:p>
            <w:pPr>
              <w:ind w:left="100"/>
              <w:spacing w:after="0" w:line="153" w:lineRule="exact"/>
              <w:rPr>
                <w:sz w:val="20"/>
                <w:szCs w:val="20"/>
                <w:color w:val="auto"/>
              </w:rPr>
            </w:pPr>
            <w:r>
              <w:rPr>
                <w:rFonts w:ascii="Times New Roman" w:cs="Times New Roman" w:eastAsia="Times New Roman" w:hAnsi="Times New Roman"/>
                <w:sz w:val="12"/>
                <w:szCs w:val="12"/>
                <w:color w:val="auto"/>
              </w:rPr>
              <w:t>Impact to income taxes</w:t>
            </w:r>
            <w:r>
              <w:rPr>
                <w:rFonts w:ascii="Times New Roman" w:cs="Times New Roman" w:eastAsia="Times New Roman" w:hAnsi="Times New Roman"/>
                <w:sz w:val="15"/>
                <w:szCs w:val="15"/>
                <w:color w:val="auto"/>
                <w:vertAlign w:val="superscript"/>
              </w:rPr>
              <w:t>(1)</w:t>
            </w: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(23,930)</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(20,515)</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58"/>
        </w:trPr>
        <w:tc>
          <w:tcPr>
            <w:tcW w:w="6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Adjusted income and adjusted earnings per share</w:t>
            </w:r>
            <w:r>
              <w:rPr>
                <w:rFonts w:ascii="Times New Roman" w:cs="Times New Roman" w:eastAsia="Times New Roman" w:hAnsi="Times New Roman"/>
                <w:sz w:val="15"/>
                <w:szCs w:val="15"/>
                <w:color w:val="auto"/>
                <w:vertAlign w:val="superscript"/>
              </w:rPr>
              <w:t>(2)</w:t>
            </w: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41,416</w:t>
            </w: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0.68</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9,973</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0.17</w:t>
            </w:r>
          </w:p>
        </w:tc>
      </w:tr>
      <w:tr>
        <w:trPr>
          <w:trHeight w:val="90"/>
        </w:trPr>
        <w:tc>
          <w:tcPr>
            <w:tcW w:w="6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r>
      <w:tr>
        <w:trPr>
          <w:trHeight w:val="16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weighted-average shares outstanding</w:t>
            </w:r>
          </w:p>
        </w:tc>
        <w:tc>
          <w:tcPr>
            <w:tcW w:w="4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60,525</w:t>
            </w: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59,024</w:t>
            </w:r>
          </w:p>
        </w:tc>
      </w:tr>
    </w:tbl>
    <w:p>
      <w:pPr>
        <w:spacing w:after="0" w:line="196" w:lineRule="exact"/>
        <w:rPr>
          <w:sz w:val="20"/>
          <w:szCs w:val="20"/>
          <w:color w:val="auto"/>
        </w:rPr>
      </w:pPr>
    </w:p>
    <w:p>
      <w:pPr>
        <w:ind w:right="260" w:firstLine="4"/>
        <w:spacing w:after="0" w:line="236" w:lineRule="auto"/>
        <w:tabs>
          <w:tab w:leader="none" w:pos="17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 to income taxes is calculated by recasting income before income taxes to include the items involved in determining adjusted income and recalculating the income tax provision using this adjusted income from operations before income taxes. The recalculation also adjusts for any discrete tax provision or benefit related to the items.</w:t>
      </w:r>
    </w:p>
    <w:p>
      <w:pPr>
        <w:spacing w:after="0" w:line="7" w:lineRule="exact"/>
        <w:rPr>
          <w:rFonts w:ascii="Times New Roman" w:cs="Times New Roman" w:eastAsia="Times New Roman" w:hAnsi="Times New Roman"/>
          <w:sz w:val="12"/>
          <w:szCs w:val="12"/>
          <w:color w:val="auto"/>
        </w:rPr>
      </w:pPr>
    </w:p>
    <w:p>
      <w:pPr>
        <w:ind w:right="180" w:firstLine="4"/>
        <w:spacing w:after="0" w:line="236" w:lineRule="auto"/>
        <w:tabs>
          <w:tab w:leader="none" w:pos="17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earnings per share is calculated using diluted shares whereas Net loss per share is calculated using basic shares. There was no impact and a $0.01 impact to the calculation of adjusted earnings per share as a result of this for the nine months ended March 27, 2026 and March 28, 2025, respectively.</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 xml:space="preserve">50 Minuteman Road, Andover, Massachusetts 01810 U.S.A. | +1-(978)-256-1300 | </w:t>
      </w:r>
      <w:r>
        <w:rPr>
          <w:rFonts w:ascii="Arial" w:cs="Arial" w:eastAsia="Arial" w:hAnsi="Arial"/>
          <w:sz w:val="11"/>
          <w:szCs w:val="11"/>
          <w:b w:val="1"/>
          <w:bCs w:val="1"/>
          <w:u w:val="single" w:color="auto"/>
          <w:color w:val="0E32E1"/>
        </w:rPr>
        <w:t>www.mrcy.com</w:t>
      </w:r>
      <w:r>
        <w:rPr>
          <w:rFonts w:ascii="Arial" w:cs="Arial" w:eastAsia="Arial" w:hAnsi="Arial"/>
          <w:sz w:val="11"/>
          <w:szCs w:val="11"/>
          <w:b w:val="1"/>
          <w:bCs w:val="1"/>
          <w:color w:val="auto"/>
        </w:rPr>
        <w:t xml:space="preserve"> | X: </w:t>
      </w:r>
      <w:r>
        <w:rPr>
          <w:rFonts w:ascii="Arial" w:cs="Arial" w:eastAsia="Arial" w:hAnsi="Arial"/>
          <w:sz w:val="11"/>
          <w:szCs w:val="11"/>
          <w:b w:val="1"/>
          <w:bCs w:val="1"/>
          <w:color w:val="0E32E1"/>
        </w:rPr>
        <w:t>@MRCY</w:t>
      </w:r>
    </w:p>
    <w:p>
      <w:pPr>
        <w:sectPr>
          <w:pgSz w:w="11900" w:h="16838" w:orient="portrait"/>
          <w:cols w:equalWidth="0" w:num="1">
            <w:col w:w="11300"/>
          </w:cols>
          <w:pgMar w:left="300" w:top="617" w:right="29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2026-05-05T15:13:43Z</dcterms:created>
  <dcterms:modified xsi:type="dcterms:W3CDTF">2026-05-05T15:13:43Z</dcterms:modified>
</cp:coreProperties>
</file>