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October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Mercury Systems,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756" w:right="359"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1680"/>
        <w:spacing w:after="0"/>
        <w:rPr>
          <w:sz w:val="20"/>
          <w:szCs w:val="20"/>
          <w:color w:val="auto"/>
        </w:rPr>
      </w:pPr>
      <w:r>
        <w:rPr>
          <w:rFonts w:ascii="Arial" w:cs="Arial" w:eastAsia="Arial" w:hAnsi="Arial"/>
          <w:sz w:val="13"/>
          <w:szCs w:val="13"/>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000-23599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04-2741391</w:t>
      </w:r>
    </w:p>
    <w:p>
      <w:pPr>
        <w:spacing w:after="0" w:line="109" w:lineRule="exact"/>
        <w:rPr>
          <w:sz w:val="24"/>
          <w:szCs w:val="24"/>
          <w:color w:val="auto"/>
        </w:rPr>
      </w:pPr>
    </w:p>
    <w:p>
      <w:pPr>
        <w:sectPr>
          <w:pgSz w:w="11900" w:h="16838" w:orient="portrait"/>
          <w:cols w:equalWidth="0" w:num="3">
            <w:col w:w="5060" w:space="720"/>
            <w:col w:w="2760" w:space="720"/>
            <w:col w:w="2040"/>
          </w:cols>
          <w:pgMar w:left="240" w:top="756" w:right="35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49"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6"/>
          <w:szCs w:val="16"/>
          <w:b w:val="1"/>
          <w:bCs w:val="1"/>
          <w:color w:val="auto"/>
        </w:rPr>
        <w:t>(IRS Employer</w:t>
      </w:r>
    </w:p>
    <w:p>
      <w:pPr>
        <w:spacing w:after="0" w:line="26" w:lineRule="exact"/>
        <w:rPr>
          <w:sz w:val="24"/>
          <w:szCs w:val="24"/>
          <w:color w:val="auto"/>
        </w:rPr>
      </w:pPr>
    </w:p>
    <w:p>
      <w:pPr>
        <w:jc w:val="center"/>
        <w:ind w:right="1000"/>
        <w:spacing w:after="0"/>
        <w:rPr>
          <w:sz w:val="20"/>
          <w:szCs w:val="20"/>
          <w:color w:val="auto"/>
        </w:rPr>
      </w:pPr>
      <w:r>
        <w:rPr>
          <w:rFonts w:ascii="Arial" w:cs="Arial" w:eastAsia="Arial" w:hAnsi="Arial"/>
          <w:sz w:val="15"/>
          <w:szCs w:val="15"/>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3100" w:space="720"/>
            <w:col w:w="2280"/>
          </w:cols>
          <w:pgMar w:left="240" w:top="756" w:right="359" w:bottom="1440" w:gutter="0" w:footer="0" w:header="0"/>
          <w:type w:val="continuous"/>
        </w:sectPr>
      </w:pPr>
    </w:p>
    <w:p>
      <w:pPr>
        <w:spacing w:after="0" w:line="108" w:lineRule="exact"/>
        <w:rPr>
          <w:sz w:val="24"/>
          <w:szCs w:val="24"/>
          <w:color w:val="auto"/>
        </w:rPr>
      </w:pPr>
    </w:p>
    <w:p>
      <w:pPr>
        <w:ind w:left="1280"/>
        <w:spacing w:after="0"/>
        <w:rPr>
          <w:sz w:val="20"/>
          <w:szCs w:val="20"/>
          <w:color w:val="auto"/>
        </w:rPr>
      </w:pPr>
      <w:r>
        <w:rPr>
          <w:rFonts w:ascii="Arial" w:cs="Arial" w:eastAsia="Arial" w:hAnsi="Arial"/>
          <w:sz w:val="14"/>
          <w:szCs w:val="14"/>
          <w:b w:val="1"/>
          <w:bCs w:val="1"/>
          <w:color w:val="auto"/>
        </w:rPr>
        <w:t>50 Minuteman Road, Andover, Massachusetts</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1810</w:t>
      </w:r>
    </w:p>
    <w:p>
      <w:pPr>
        <w:spacing w:after="0" w:line="109" w:lineRule="exact"/>
        <w:rPr>
          <w:sz w:val="24"/>
          <w:szCs w:val="24"/>
          <w:color w:val="auto"/>
        </w:rPr>
      </w:pPr>
    </w:p>
    <w:p>
      <w:pPr>
        <w:sectPr>
          <w:pgSz w:w="11900" w:h="16838" w:orient="portrait"/>
          <w:cols w:equalWidth="0" w:num="2">
            <w:col w:w="7800" w:space="720"/>
            <w:col w:w="2780"/>
          </w:cols>
          <w:pgMar w:left="240" w:top="756" w:right="359" w:bottom="1440" w:gutter="0" w:footer="0" w:header="0"/>
          <w:type w:val="continuous"/>
        </w:sectPr>
      </w:pPr>
    </w:p>
    <w:p>
      <w:pPr>
        <w:ind w:left="14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(Zip Code)</w:t>
      </w:r>
    </w:p>
    <w:p>
      <w:pPr>
        <w:spacing w:after="0" w:line="200" w:lineRule="exact"/>
        <w:rPr>
          <w:sz w:val="24"/>
          <w:szCs w:val="24"/>
          <w:color w:val="auto"/>
        </w:rPr>
      </w:pPr>
    </w:p>
    <w:p>
      <w:pPr>
        <w:sectPr>
          <w:pgSz w:w="11900" w:h="16838" w:orient="portrait"/>
          <w:cols w:equalWidth="0" w:num="2">
            <w:col w:w="7580" w:space="720"/>
            <w:col w:w="3000"/>
          </w:cols>
          <w:pgMar w:left="240" w:top="756" w:right="359" w:bottom="1440" w:gutter="0" w:footer="0" w:header="0"/>
          <w:type w:val="continuous"/>
        </w:sectPr>
      </w:pP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(978) 256-1300</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33" w:lineRule="exact"/>
        <w:rPr>
          <w:sz w:val="24"/>
          <w:szCs w:val="24"/>
          <w:color w:val="auto"/>
        </w:rPr>
      </w:pPr>
    </w:p>
    <w:p>
      <w:pPr>
        <w:ind w:left="6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sz w:val="24"/>
          <w:szCs w:val="24"/>
          <w:color w:val="auto"/>
        </w:rPr>
      </w:pPr>
    </w:p>
    <w:p>
      <w:pPr>
        <w:spacing w:after="0" w:line="214"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448310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756" w:right="359" w:bottom="1440" w:gutter="0" w:footer="0" w:header="0"/>
          <w:type w:val="continuous"/>
        </w:sectPr>
      </w:pPr>
    </w:p>
    <w:bookmarkStart w:id="1" w:name="page2"/>
    <w:bookmarkEnd w:id="1"/>
    <w:p>
      <w:pPr>
        <w:ind w:left="1260" w:hanging="1296"/>
        <w:spacing w:after="0" w:line="313" w:lineRule="auto"/>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23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At the Annual Meeting of Shareholders held on October 18, 2017 (the “2017 Annual Meeting”), Lisa S. Disbrow was elected as a Class I Director for a two-year term ending in 2019 and each of Mark Aslett, Mary Louise Krakauer, and William K. O’Brien was elected as a Class II Director for a three-year term ending in 2020.</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5180" w:type="dxa"/>
            <w:vAlign w:val="bottom"/>
            <w:gridSpan w:val="2"/>
          </w:tcPr>
          <w:p>
            <w:pPr>
              <w:ind w:left="260"/>
              <w:spacing w:after="0"/>
              <w:rPr>
                <w:sz w:val="20"/>
                <w:szCs w:val="20"/>
                <w:color w:val="auto"/>
              </w:rPr>
            </w:pPr>
            <w:r>
              <w:rPr>
                <w:rFonts w:ascii="Arial" w:cs="Arial" w:eastAsia="Arial" w:hAnsi="Arial"/>
                <w:sz w:val="18"/>
                <w:szCs w:val="18"/>
                <w:color w:val="auto"/>
                <w:w w:val="92"/>
              </w:rPr>
              <w:t>The final voting results for the 2017 Annual Meeting are as follows:</w:t>
            </w:r>
          </w:p>
        </w:tc>
      </w:tr>
      <w:tr>
        <w:trPr>
          <w:trHeight w:val="446"/>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1.</w:t>
            </w:r>
          </w:p>
        </w:tc>
        <w:tc>
          <w:tcPr>
            <w:tcW w:w="2520" w:type="dxa"/>
            <w:vAlign w:val="bottom"/>
          </w:tcPr>
          <w:p>
            <w:pPr>
              <w:ind w:left="260"/>
              <w:spacing w:after="0"/>
              <w:rPr>
                <w:sz w:val="20"/>
                <w:szCs w:val="20"/>
                <w:color w:val="auto"/>
              </w:rPr>
            </w:pPr>
            <w:r>
              <w:rPr>
                <w:rFonts w:ascii="Arial" w:cs="Arial" w:eastAsia="Arial" w:hAnsi="Arial"/>
                <w:sz w:val="18"/>
                <w:szCs w:val="18"/>
                <w:color w:val="auto"/>
              </w:rPr>
              <w:t>Election of I Director:</w:t>
            </w:r>
          </w:p>
        </w:tc>
        <w:tc>
          <w:tcPr>
            <w:tcW w:w="2660" w:type="dxa"/>
            <w:vAlign w:val="bottom"/>
          </w:tcPr>
          <w:p>
            <w:pPr>
              <w:spacing w:after="0"/>
              <w:rPr>
                <w:sz w:val="24"/>
                <w:szCs w:val="24"/>
                <w:color w:val="auto"/>
              </w:rPr>
            </w:pPr>
          </w:p>
        </w:tc>
      </w:tr>
      <w:tr>
        <w:trPr>
          <w:trHeight w:val="405"/>
        </w:trPr>
        <w:tc>
          <w:tcPr>
            <w:tcW w:w="400" w:type="dxa"/>
            <w:vAlign w:val="bottom"/>
          </w:tcPr>
          <w:p>
            <w:pPr>
              <w:spacing w:after="0"/>
              <w:rPr>
                <w:sz w:val="24"/>
                <w:szCs w:val="24"/>
                <w:color w:val="auto"/>
              </w:rPr>
            </w:pPr>
          </w:p>
        </w:tc>
        <w:tc>
          <w:tcPr>
            <w:tcW w:w="2520" w:type="dxa"/>
            <w:vAlign w:val="bottom"/>
          </w:tcPr>
          <w:p>
            <w:pPr>
              <w:ind w:left="260"/>
              <w:spacing w:after="0"/>
              <w:rPr>
                <w:sz w:val="20"/>
                <w:szCs w:val="20"/>
                <w:color w:val="auto"/>
              </w:rPr>
            </w:pPr>
            <w:r>
              <w:rPr>
                <w:rFonts w:ascii="Arial" w:cs="Arial" w:eastAsia="Arial" w:hAnsi="Arial"/>
                <w:sz w:val="18"/>
                <w:szCs w:val="18"/>
                <w:color w:val="auto"/>
              </w:rPr>
              <w:t>Lisa S. Disbrow</w:t>
            </w:r>
          </w:p>
        </w:tc>
        <w:tc>
          <w:tcPr>
            <w:tcW w:w="2660" w:type="dxa"/>
            <w:vAlign w:val="bottom"/>
          </w:tcPr>
          <w:p>
            <w:pPr>
              <w:spacing w:after="0"/>
              <w:rPr>
                <w:sz w:val="24"/>
                <w:szCs w:val="24"/>
                <w:color w:val="auto"/>
              </w:rPr>
            </w:pPr>
          </w:p>
        </w:tc>
      </w:tr>
      <w:tr>
        <w:trPr>
          <w:trHeight w:val="378"/>
        </w:trPr>
        <w:tc>
          <w:tcPr>
            <w:tcW w:w="400" w:type="dxa"/>
            <w:vAlign w:val="bottom"/>
          </w:tcPr>
          <w:p>
            <w:pPr>
              <w:spacing w:after="0"/>
              <w:rPr>
                <w:sz w:val="24"/>
                <w:szCs w:val="24"/>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For:</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40,089,894</w:t>
            </w:r>
          </w:p>
        </w:tc>
      </w:tr>
      <w:tr>
        <w:trPr>
          <w:trHeight w:val="270"/>
        </w:trPr>
        <w:tc>
          <w:tcPr>
            <w:tcW w:w="400" w:type="dxa"/>
            <w:vAlign w:val="bottom"/>
          </w:tcPr>
          <w:p>
            <w:pPr>
              <w:spacing w:after="0"/>
              <w:rPr>
                <w:sz w:val="23"/>
                <w:szCs w:val="23"/>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Withheld:</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934,701</w:t>
            </w:r>
          </w:p>
        </w:tc>
      </w:tr>
      <w:tr>
        <w:trPr>
          <w:trHeight w:val="270"/>
        </w:trPr>
        <w:tc>
          <w:tcPr>
            <w:tcW w:w="400" w:type="dxa"/>
            <w:vAlign w:val="bottom"/>
          </w:tcPr>
          <w:p>
            <w:pPr>
              <w:spacing w:after="0"/>
              <w:rPr>
                <w:sz w:val="23"/>
                <w:szCs w:val="23"/>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Broker Non-Votes:</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3,873,822</w:t>
            </w:r>
          </w:p>
        </w:tc>
      </w:tr>
      <w:tr>
        <w:trPr>
          <w:trHeight w:val="473"/>
        </w:trPr>
        <w:tc>
          <w:tcPr>
            <w:tcW w:w="400" w:type="dxa"/>
            <w:vAlign w:val="bottom"/>
          </w:tcPr>
          <w:p>
            <w:pPr>
              <w:spacing w:after="0"/>
              <w:rPr>
                <w:sz w:val="24"/>
                <w:szCs w:val="24"/>
                <w:color w:val="auto"/>
              </w:rPr>
            </w:pPr>
          </w:p>
        </w:tc>
        <w:tc>
          <w:tcPr>
            <w:tcW w:w="2520" w:type="dxa"/>
            <w:vAlign w:val="bottom"/>
          </w:tcPr>
          <w:p>
            <w:pPr>
              <w:ind w:left="260"/>
              <w:spacing w:after="0"/>
              <w:rPr>
                <w:sz w:val="20"/>
                <w:szCs w:val="20"/>
                <w:color w:val="auto"/>
              </w:rPr>
            </w:pPr>
            <w:r>
              <w:rPr>
                <w:rFonts w:ascii="Arial" w:cs="Arial" w:eastAsia="Arial" w:hAnsi="Arial"/>
                <w:sz w:val="18"/>
                <w:szCs w:val="18"/>
                <w:color w:val="auto"/>
              </w:rPr>
              <w:t>Election of II Directors:</w:t>
            </w:r>
          </w:p>
        </w:tc>
        <w:tc>
          <w:tcPr>
            <w:tcW w:w="2660" w:type="dxa"/>
            <w:vAlign w:val="bottom"/>
          </w:tcPr>
          <w:p>
            <w:pPr>
              <w:spacing w:after="0"/>
              <w:rPr>
                <w:sz w:val="24"/>
                <w:szCs w:val="24"/>
                <w:color w:val="auto"/>
              </w:rPr>
            </w:pPr>
          </w:p>
        </w:tc>
      </w:tr>
      <w:tr>
        <w:trPr>
          <w:trHeight w:val="405"/>
        </w:trPr>
        <w:tc>
          <w:tcPr>
            <w:tcW w:w="400" w:type="dxa"/>
            <w:vAlign w:val="bottom"/>
          </w:tcPr>
          <w:p>
            <w:pPr>
              <w:spacing w:after="0"/>
              <w:rPr>
                <w:sz w:val="24"/>
                <w:szCs w:val="24"/>
                <w:color w:val="auto"/>
              </w:rPr>
            </w:pPr>
          </w:p>
        </w:tc>
        <w:tc>
          <w:tcPr>
            <w:tcW w:w="2520" w:type="dxa"/>
            <w:vAlign w:val="bottom"/>
          </w:tcPr>
          <w:p>
            <w:pPr>
              <w:ind w:left="260"/>
              <w:spacing w:after="0"/>
              <w:rPr>
                <w:sz w:val="20"/>
                <w:szCs w:val="20"/>
                <w:color w:val="auto"/>
              </w:rPr>
            </w:pPr>
            <w:r>
              <w:rPr>
                <w:rFonts w:ascii="Arial" w:cs="Arial" w:eastAsia="Arial" w:hAnsi="Arial"/>
                <w:sz w:val="18"/>
                <w:szCs w:val="18"/>
                <w:color w:val="auto"/>
              </w:rPr>
              <w:t>Mark Aslett</w:t>
            </w:r>
          </w:p>
        </w:tc>
        <w:tc>
          <w:tcPr>
            <w:tcW w:w="2660" w:type="dxa"/>
            <w:vAlign w:val="bottom"/>
          </w:tcPr>
          <w:p>
            <w:pPr>
              <w:spacing w:after="0"/>
              <w:rPr>
                <w:sz w:val="24"/>
                <w:szCs w:val="24"/>
                <w:color w:val="auto"/>
              </w:rPr>
            </w:pPr>
          </w:p>
        </w:tc>
      </w:tr>
      <w:tr>
        <w:trPr>
          <w:trHeight w:val="378"/>
        </w:trPr>
        <w:tc>
          <w:tcPr>
            <w:tcW w:w="400" w:type="dxa"/>
            <w:vAlign w:val="bottom"/>
          </w:tcPr>
          <w:p>
            <w:pPr>
              <w:spacing w:after="0"/>
              <w:rPr>
                <w:sz w:val="24"/>
                <w:szCs w:val="24"/>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For:</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40,090,031</w:t>
            </w:r>
          </w:p>
        </w:tc>
      </w:tr>
      <w:tr>
        <w:trPr>
          <w:trHeight w:val="270"/>
        </w:trPr>
        <w:tc>
          <w:tcPr>
            <w:tcW w:w="400" w:type="dxa"/>
            <w:vAlign w:val="bottom"/>
          </w:tcPr>
          <w:p>
            <w:pPr>
              <w:spacing w:after="0"/>
              <w:rPr>
                <w:sz w:val="23"/>
                <w:szCs w:val="23"/>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Withheld:</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934,564</w:t>
            </w:r>
          </w:p>
        </w:tc>
      </w:tr>
      <w:tr>
        <w:trPr>
          <w:trHeight w:val="270"/>
        </w:trPr>
        <w:tc>
          <w:tcPr>
            <w:tcW w:w="400" w:type="dxa"/>
            <w:vAlign w:val="bottom"/>
          </w:tcPr>
          <w:p>
            <w:pPr>
              <w:spacing w:after="0"/>
              <w:rPr>
                <w:sz w:val="23"/>
                <w:szCs w:val="23"/>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Broker Non-Votes:</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3,873,822</w:t>
            </w:r>
          </w:p>
        </w:tc>
      </w:tr>
      <w:tr>
        <w:trPr>
          <w:trHeight w:val="459"/>
        </w:trPr>
        <w:tc>
          <w:tcPr>
            <w:tcW w:w="400" w:type="dxa"/>
            <w:vAlign w:val="bottom"/>
          </w:tcPr>
          <w:p>
            <w:pPr>
              <w:spacing w:after="0"/>
              <w:rPr>
                <w:sz w:val="24"/>
                <w:szCs w:val="24"/>
                <w:color w:val="auto"/>
              </w:rPr>
            </w:pPr>
          </w:p>
        </w:tc>
        <w:tc>
          <w:tcPr>
            <w:tcW w:w="2520" w:type="dxa"/>
            <w:vAlign w:val="bottom"/>
          </w:tcPr>
          <w:p>
            <w:pPr>
              <w:ind w:left="260"/>
              <w:spacing w:after="0"/>
              <w:rPr>
                <w:sz w:val="20"/>
                <w:szCs w:val="20"/>
                <w:color w:val="auto"/>
              </w:rPr>
            </w:pPr>
            <w:r>
              <w:rPr>
                <w:rFonts w:ascii="Arial" w:cs="Arial" w:eastAsia="Arial" w:hAnsi="Arial"/>
                <w:sz w:val="18"/>
                <w:szCs w:val="18"/>
                <w:color w:val="auto"/>
              </w:rPr>
              <w:t>Mary Louise Krakauer</w:t>
            </w:r>
          </w:p>
        </w:tc>
        <w:tc>
          <w:tcPr>
            <w:tcW w:w="2660" w:type="dxa"/>
            <w:vAlign w:val="bottom"/>
          </w:tcPr>
          <w:p>
            <w:pPr>
              <w:spacing w:after="0"/>
              <w:rPr>
                <w:sz w:val="24"/>
                <w:szCs w:val="24"/>
                <w:color w:val="auto"/>
              </w:rPr>
            </w:pPr>
          </w:p>
        </w:tc>
      </w:tr>
      <w:tr>
        <w:trPr>
          <w:trHeight w:val="378"/>
        </w:trPr>
        <w:tc>
          <w:tcPr>
            <w:tcW w:w="400" w:type="dxa"/>
            <w:vAlign w:val="bottom"/>
          </w:tcPr>
          <w:p>
            <w:pPr>
              <w:spacing w:after="0"/>
              <w:rPr>
                <w:sz w:val="24"/>
                <w:szCs w:val="24"/>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For:</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40,089,822</w:t>
            </w:r>
          </w:p>
        </w:tc>
      </w:tr>
      <w:tr>
        <w:trPr>
          <w:trHeight w:val="270"/>
        </w:trPr>
        <w:tc>
          <w:tcPr>
            <w:tcW w:w="400" w:type="dxa"/>
            <w:vAlign w:val="bottom"/>
          </w:tcPr>
          <w:p>
            <w:pPr>
              <w:spacing w:after="0"/>
              <w:rPr>
                <w:sz w:val="23"/>
                <w:szCs w:val="23"/>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Withheld:</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934,773</w:t>
            </w:r>
          </w:p>
        </w:tc>
      </w:tr>
      <w:tr>
        <w:trPr>
          <w:trHeight w:val="270"/>
        </w:trPr>
        <w:tc>
          <w:tcPr>
            <w:tcW w:w="400" w:type="dxa"/>
            <w:vAlign w:val="bottom"/>
          </w:tcPr>
          <w:p>
            <w:pPr>
              <w:spacing w:after="0"/>
              <w:rPr>
                <w:sz w:val="23"/>
                <w:szCs w:val="23"/>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Broker Non-Votes:</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3,873,822</w:t>
            </w:r>
          </w:p>
        </w:tc>
      </w:tr>
      <w:tr>
        <w:trPr>
          <w:trHeight w:val="459"/>
        </w:trPr>
        <w:tc>
          <w:tcPr>
            <w:tcW w:w="400" w:type="dxa"/>
            <w:vAlign w:val="bottom"/>
          </w:tcPr>
          <w:p>
            <w:pPr>
              <w:spacing w:after="0"/>
              <w:rPr>
                <w:sz w:val="24"/>
                <w:szCs w:val="24"/>
                <w:color w:val="auto"/>
              </w:rPr>
            </w:pPr>
          </w:p>
        </w:tc>
        <w:tc>
          <w:tcPr>
            <w:tcW w:w="2520" w:type="dxa"/>
            <w:vAlign w:val="bottom"/>
          </w:tcPr>
          <w:p>
            <w:pPr>
              <w:ind w:left="260"/>
              <w:spacing w:after="0"/>
              <w:rPr>
                <w:sz w:val="20"/>
                <w:szCs w:val="20"/>
                <w:color w:val="auto"/>
              </w:rPr>
            </w:pPr>
            <w:r>
              <w:rPr>
                <w:rFonts w:ascii="Arial" w:cs="Arial" w:eastAsia="Arial" w:hAnsi="Arial"/>
                <w:sz w:val="18"/>
                <w:szCs w:val="18"/>
                <w:color w:val="auto"/>
              </w:rPr>
              <w:t>William K. O’Brien</w:t>
            </w:r>
          </w:p>
        </w:tc>
        <w:tc>
          <w:tcPr>
            <w:tcW w:w="2660" w:type="dxa"/>
            <w:vAlign w:val="bottom"/>
          </w:tcPr>
          <w:p>
            <w:pPr>
              <w:spacing w:after="0"/>
              <w:rPr>
                <w:sz w:val="24"/>
                <w:szCs w:val="24"/>
                <w:color w:val="auto"/>
              </w:rPr>
            </w:pPr>
          </w:p>
        </w:tc>
      </w:tr>
      <w:tr>
        <w:trPr>
          <w:trHeight w:val="378"/>
        </w:trPr>
        <w:tc>
          <w:tcPr>
            <w:tcW w:w="400" w:type="dxa"/>
            <w:vAlign w:val="bottom"/>
          </w:tcPr>
          <w:p>
            <w:pPr>
              <w:spacing w:after="0"/>
              <w:rPr>
                <w:sz w:val="24"/>
                <w:szCs w:val="24"/>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For:</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40,068,465</w:t>
            </w:r>
          </w:p>
        </w:tc>
      </w:tr>
      <w:tr>
        <w:trPr>
          <w:trHeight w:val="270"/>
        </w:trPr>
        <w:tc>
          <w:tcPr>
            <w:tcW w:w="400" w:type="dxa"/>
            <w:vAlign w:val="bottom"/>
          </w:tcPr>
          <w:p>
            <w:pPr>
              <w:spacing w:after="0"/>
              <w:rPr>
                <w:sz w:val="23"/>
                <w:szCs w:val="23"/>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Withheld:</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956,130</w:t>
            </w:r>
          </w:p>
        </w:tc>
      </w:tr>
      <w:tr>
        <w:trPr>
          <w:trHeight w:val="270"/>
        </w:trPr>
        <w:tc>
          <w:tcPr>
            <w:tcW w:w="400" w:type="dxa"/>
            <w:vAlign w:val="bottom"/>
          </w:tcPr>
          <w:p>
            <w:pPr>
              <w:spacing w:after="0"/>
              <w:rPr>
                <w:sz w:val="23"/>
                <w:szCs w:val="23"/>
                <w:color w:val="auto"/>
              </w:rPr>
            </w:pPr>
          </w:p>
        </w:tc>
        <w:tc>
          <w:tcPr>
            <w:tcW w:w="2520" w:type="dxa"/>
            <w:vAlign w:val="bottom"/>
          </w:tcPr>
          <w:p>
            <w:pPr>
              <w:ind w:left="280"/>
              <w:spacing w:after="0"/>
              <w:rPr>
                <w:sz w:val="20"/>
                <w:szCs w:val="20"/>
                <w:color w:val="auto"/>
              </w:rPr>
            </w:pPr>
            <w:r>
              <w:rPr>
                <w:rFonts w:ascii="Arial" w:cs="Arial" w:eastAsia="Arial" w:hAnsi="Arial"/>
                <w:sz w:val="18"/>
                <w:szCs w:val="18"/>
                <w:color w:val="auto"/>
              </w:rPr>
              <w:t>Broker Non-Votes:</w:t>
            </w:r>
          </w:p>
        </w:tc>
        <w:tc>
          <w:tcPr>
            <w:tcW w:w="2660" w:type="dxa"/>
            <w:vAlign w:val="bottom"/>
          </w:tcPr>
          <w:p>
            <w:pPr>
              <w:jc w:val="right"/>
              <w:ind w:right="1230"/>
              <w:spacing w:after="0"/>
              <w:rPr>
                <w:sz w:val="20"/>
                <w:szCs w:val="20"/>
                <w:color w:val="auto"/>
              </w:rPr>
            </w:pPr>
            <w:r>
              <w:rPr>
                <w:rFonts w:ascii="Arial" w:cs="Arial" w:eastAsia="Arial" w:hAnsi="Arial"/>
                <w:sz w:val="18"/>
                <w:szCs w:val="18"/>
                <w:color w:val="auto"/>
              </w:rPr>
              <w:t>3,873,822</w:t>
            </w:r>
          </w:p>
        </w:tc>
      </w:tr>
    </w:tbl>
    <w:p>
      <w:pPr>
        <w:spacing w:after="0" w:line="24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Advisory vote to approve the compensation of the Company’s named executive officers for fiscal year 2017:</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For:</w:t>
            </w:r>
          </w:p>
        </w:tc>
        <w:tc>
          <w:tcPr>
            <w:tcW w:w="1520" w:type="dxa"/>
            <w:vAlign w:val="bottom"/>
          </w:tcPr>
          <w:p>
            <w:pPr>
              <w:jc w:val="right"/>
              <w:spacing w:after="0"/>
              <w:rPr>
                <w:sz w:val="20"/>
                <w:szCs w:val="20"/>
                <w:color w:val="auto"/>
              </w:rPr>
            </w:pPr>
            <w:r>
              <w:rPr>
                <w:rFonts w:ascii="Arial" w:cs="Arial" w:eastAsia="Arial" w:hAnsi="Arial"/>
                <w:sz w:val="18"/>
                <w:szCs w:val="18"/>
                <w:color w:val="auto"/>
              </w:rPr>
              <w:t>40,774,744</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Against:</w:t>
            </w:r>
          </w:p>
        </w:tc>
        <w:tc>
          <w:tcPr>
            <w:tcW w:w="1520" w:type="dxa"/>
            <w:vAlign w:val="bottom"/>
          </w:tcPr>
          <w:p>
            <w:pPr>
              <w:jc w:val="right"/>
              <w:spacing w:after="0"/>
              <w:rPr>
                <w:sz w:val="20"/>
                <w:szCs w:val="20"/>
                <w:color w:val="auto"/>
              </w:rPr>
            </w:pPr>
            <w:r>
              <w:rPr>
                <w:rFonts w:ascii="Arial" w:cs="Arial" w:eastAsia="Arial" w:hAnsi="Arial"/>
                <w:sz w:val="18"/>
                <w:szCs w:val="18"/>
                <w:color w:val="auto"/>
              </w:rPr>
              <w:t>227,771</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Abstain:</w:t>
            </w:r>
          </w:p>
        </w:tc>
        <w:tc>
          <w:tcPr>
            <w:tcW w:w="1520" w:type="dxa"/>
            <w:vAlign w:val="bottom"/>
          </w:tcPr>
          <w:p>
            <w:pPr>
              <w:jc w:val="right"/>
              <w:spacing w:after="0"/>
              <w:rPr>
                <w:sz w:val="20"/>
                <w:szCs w:val="20"/>
                <w:color w:val="auto"/>
              </w:rPr>
            </w:pPr>
            <w:r>
              <w:rPr>
                <w:rFonts w:ascii="Arial" w:cs="Arial" w:eastAsia="Arial" w:hAnsi="Arial"/>
                <w:sz w:val="18"/>
                <w:szCs w:val="18"/>
                <w:color w:val="auto"/>
              </w:rPr>
              <w:t>22,080</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Broker Non-Votes:</w:t>
            </w:r>
          </w:p>
        </w:tc>
        <w:tc>
          <w:tcPr>
            <w:tcW w:w="1520" w:type="dxa"/>
            <w:vAlign w:val="bottom"/>
          </w:tcPr>
          <w:p>
            <w:pPr>
              <w:jc w:val="right"/>
              <w:spacing w:after="0"/>
              <w:rPr>
                <w:sz w:val="20"/>
                <w:szCs w:val="20"/>
                <w:color w:val="auto"/>
              </w:rPr>
            </w:pPr>
            <w:r>
              <w:rPr>
                <w:rFonts w:ascii="Arial" w:cs="Arial" w:eastAsia="Arial" w:hAnsi="Arial"/>
                <w:sz w:val="18"/>
                <w:szCs w:val="18"/>
                <w:color w:val="auto"/>
              </w:rPr>
              <w:t>3,873,822</w:t>
            </w:r>
          </w:p>
        </w:tc>
      </w:tr>
    </w:tbl>
    <w:p>
      <w:pPr>
        <w:spacing w:after="0" w:line="26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Advisory vote on the frequency of holding future say-on-pay votes:</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378" w:right="419" w:bottom="1440" w:gutter="0" w:footer="0" w:header="0"/>
        </w:sectPr>
      </w:pPr>
    </w:p>
    <w:bookmarkStart w:id="2" w:name="page3"/>
    <w:bookmarkEnd w:id="2"/>
    <w:tbl>
      <w:tblPr>
        <w:tblLayout w:type="fixed"/>
        <w:tblInd w:w="6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One Year:</w:t>
            </w:r>
          </w:p>
        </w:tc>
        <w:tc>
          <w:tcPr>
            <w:tcW w:w="1520" w:type="dxa"/>
            <w:vAlign w:val="bottom"/>
          </w:tcPr>
          <w:p>
            <w:pPr>
              <w:jc w:val="right"/>
              <w:spacing w:after="0"/>
              <w:rPr>
                <w:sz w:val="20"/>
                <w:szCs w:val="20"/>
                <w:color w:val="auto"/>
              </w:rPr>
            </w:pPr>
            <w:r>
              <w:rPr>
                <w:rFonts w:ascii="Arial" w:cs="Arial" w:eastAsia="Arial" w:hAnsi="Arial"/>
                <w:sz w:val="18"/>
                <w:szCs w:val="18"/>
                <w:color w:val="auto"/>
              </w:rPr>
              <w:t>32,680,826</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Two Years:</w:t>
            </w:r>
          </w:p>
        </w:tc>
        <w:tc>
          <w:tcPr>
            <w:tcW w:w="1520" w:type="dxa"/>
            <w:vAlign w:val="bottom"/>
          </w:tcPr>
          <w:p>
            <w:pPr>
              <w:jc w:val="right"/>
              <w:spacing w:after="0"/>
              <w:rPr>
                <w:sz w:val="20"/>
                <w:szCs w:val="20"/>
                <w:color w:val="auto"/>
              </w:rPr>
            </w:pPr>
            <w:r>
              <w:rPr>
                <w:rFonts w:ascii="Arial" w:cs="Arial" w:eastAsia="Arial" w:hAnsi="Arial"/>
                <w:sz w:val="18"/>
                <w:szCs w:val="18"/>
                <w:color w:val="auto"/>
              </w:rPr>
              <w:t>63,316</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Three Years:</w:t>
            </w:r>
          </w:p>
        </w:tc>
        <w:tc>
          <w:tcPr>
            <w:tcW w:w="1520" w:type="dxa"/>
            <w:vAlign w:val="bottom"/>
          </w:tcPr>
          <w:p>
            <w:pPr>
              <w:jc w:val="right"/>
              <w:spacing w:after="0"/>
              <w:rPr>
                <w:sz w:val="20"/>
                <w:szCs w:val="20"/>
                <w:color w:val="auto"/>
              </w:rPr>
            </w:pPr>
            <w:r>
              <w:rPr>
                <w:rFonts w:ascii="Arial" w:cs="Arial" w:eastAsia="Arial" w:hAnsi="Arial"/>
                <w:sz w:val="18"/>
                <w:szCs w:val="18"/>
                <w:color w:val="auto"/>
              </w:rPr>
              <w:t>8,259,864</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Abstain:</w:t>
            </w:r>
          </w:p>
        </w:tc>
        <w:tc>
          <w:tcPr>
            <w:tcW w:w="1520" w:type="dxa"/>
            <w:vAlign w:val="bottom"/>
          </w:tcPr>
          <w:p>
            <w:pPr>
              <w:jc w:val="right"/>
              <w:spacing w:after="0"/>
              <w:rPr>
                <w:sz w:val="20"/>
                <w:szCs w:val="20"/>
                <w:color w:val="auto"/>
              </w:rPr>
            </w:pPr>
            <w:r>
              <w:rPr>
                <w:rFonts w:ascii="Arial" w:cs="Arial" w:eastAsia="Arial" w:hAnsi="Arial"/>
                <w:sz w:val="18"/>
                <w:szCs w:val="18"/>
                <w:color w:val="auto"/>
              </w:rPr>
              <w:t>20,589</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Broker Non-Votes:</w:t>
            </w:r>
          </w:p>
        </w:tc>
        <w:tc>
          <w:tcPr>
            <w:tcW w:w="1520" w:type="dxa"/>
            <w:vAlign w:val="bottom"/>
          </w:tcPr>
          <w:p>
            <w:pPr>
              <w:jc w:val="right"/>
              <w:spacing w:after="0"/>
              <w:rPr>
                <w:sz w:val="20"/>
                <w:szCs w:val="20"/>
                <w:color w:val="auto"/>
              </w:rPr>
            </w:pPr>
            <w:r>
              <w:rPr>
                <w:rFonts w:ascii="Arial" w:cs="Arial" w:eastAsia="Arial" w:hAnsi="Arial"/>
                <w:sz w:val="18"/>
                <w:szCs w:val="18"/>
                <w:color w:val="auto"/>
              </w:rPr>
              <w:t>3,873,822</w:t>
            </w:r>
          </w:p>
        </w:tc>
      </w:tr>
    </w:tbl>
    <w:p>
      <w:pPr>
        <w:spacing w:after="0" w:line="26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Ratification of KPMG LLP as independent registered public accounting firm for the fiscal year ending June 30, 2018:</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For:</w:t>
            </w:r>
          </w:p>
        </w:tc>
        <w:tc>
          <w:tcPr>
            <w:tcW w:w="1520" w:type="dxa"/>
            <w:vAlign w:val="bottom"/>
          </w:tcPr>
          <w:p>
            <w:pPr>
              <w:jc w:val="right"/>
              <w:spacing w:after="0"/>
              <w:rPr>
                <w:sz w:val="20"/>
                <w:szCs w:val="20"/>
                <w:color w:val="auto"/>
              </w:rPr>
            </w:pPr>
            <w:r>
              <w:rPr>
                <w:rFonts w:ascii="Arial" w:cs="Arial" w:eastAsia="Arial" w:hAnsi="Arial"/>
                <w:sz w:val="18"/>
                <w:szCs w:val="18"/>
                <w:color w:val="auto"/>
              </w:rPr>
              <w:t>44,644,834</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Against:</w:t>
            </w:r>
          </w:p>
        </w:tc>
        <w:tc>
          <w:tcPr>
            <w:tcW w:w="1520" w:type="dxa"/>
            <w:vAlign w:val="bottom"/>
          </w:tcPr>
          <w:p>
            <w:pPr>
              <w:jc w:val="right"/>
              <w:spacing w:after="0"/>
              <w:rPr>
                <w:sz w:val="20"/>
                <w:szCs w:val="20"/>
                <w:color w:val="auto"/>
              </w:rPr>
            </w:pPr>
            <w:r>
              <w:rPr>
                <w:rFonts w:ascii="Arial" w:cs="Arial" w:eastAsia="Arial" w:hAnsi="Arial"/>
                <w:sz w:val="18"/>
                <w:szCs w:val="18"/>
                <w:color w:val="auto"/>
              </w:rPr>
              <w:t>244,952</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Abstain:</w:t>
            </w:r>
          </w:p>
        </w:tc>
        <w:tc>
          <w:tcPr>
            <w:tcW w:w="1520" w:type="dxa"/>
            <w:vAlign w:val="bottom"/>
          </w:tcPr>
          <w:p>
            <w:pPr>
              <w:jc w:val="right"/>
              <w:spacing w:after="0"/>
              <w:rPr>
                <w:sz w:val="20"/>
                <w:szCs w:val="20"/>
                <w:color w:val="auto"/>
              </w:rPr>
            </w:pPr>
            <w:r>
              <w:rPr>
                <w:rFonts w:ascii="Arial" w:cs="Arial" w:eastAsia="Arial" w:hAnsi="Arial"/>
                <w:sz w:val="18"/>
                <w:szCs w:val="18"/>
                <w:color w:val="auto"/>
              </w:rPr>
              <w:t>8,631</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Broker Non-Votes:</w:t>
            </w:r>
          </w:p>
        </w:tc>
        <w:tc>
          <w:tcPr>
            <w:tcW w:w="15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8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The Company’s Board of Directors held a meeting at which it elected Vincent Vitto as Chairman of the Board and determined the composition of the Board committees for the upcoming year. The Board of Directors formalized the Company’s prior ad hoc M&amp;A Review Committee as the M&amp;A and Finance Committee. The Board of Directors also formed a new Government Relations Committee. The committees of the Board will be constituted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William K. O’Brien (Chair), James K. Bass, Lisa S. Disbrow, and Mark S. Newman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Michael A. Daniels (Chair), Mary Louise Krakauer, George K. Muellner, and Vincent Vitto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Governance Committee: Vincent Vitto (Chair), Michael A. Daniels, and William K. O’Brien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M&amp;A and Finance Committee: George K. Muellner (Chair), Michael A. Daniels, Mark S. Newman, William K. O’Brien, and James K. Bass (Alternate)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Government Relations Committee: Lisa S. Disbrow (Chair), George K. Muellner, Mark S. Newman, and Vincent Vitto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30" w:right="29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Dated: October 20, 2017</w:t>
            </w:r>
          </w:p>
        </w:tc>
        <w:tc>
          <w:tcPr>
            <w:tcW w:w="7340" w:type="dxa"/>
            <w:vAlign w:val="bottom"/>
            <w:gridSpan w:val="3"/>
          </w:tcPr>
          <w:p>
            <w:pPr>
              <w:ind w:left="2280"/>
              <w:spacing w:after="0"/>
              <w:rPr>
                <w:sz w:val="20"/>
                <w:szCs w:val="20"/>
                <w:color w:val="auto"/>
              </w:rPr>
            </w:pPr>
            <w:r>
              <w:rPr>
                <w:rFonts w:ascii="Arial" w:cs="Arial" w:eastAsia="Arial" w:hAnsi="Arial"/>
                <w:sz w:val="18"/>
                <w:szCs w:val="18"/>
                <w:color w:val="auto"/>
              </w:rPr>
              <w:t>MERCURY SYSTEMS, INC.</w:t>
            </w:r>
          </w:p>
        </w:tc>
      </w:tr>
      <w:tr>
        <w:trPr>
          <w:trHeight w:val="500"/>
        </w:trPr>
        <w:tc>
          <w:tcPr>
            <w:tcW w:w="3620" w:type="dxa"/>
            <w:vAlign w:val="bottom"/>
          </w:tcPr>
          <w:p>
            <w:pPr>
              <w:spacing w:after="0"/>
              <w:rPr>
                <w:sz w:val="24"/>
                <w:szCs w:val="24"/>
                <w:color w:val="auto"/>
              </w:rPr>
            </w:pPr>
          </w:p>
        </w:tc>
        <w:tc>
          <w:tcPr>
            <w:tcW w:w="7340" w:type="dxa"/>
            <w:vAlign w:val="bottom"/>
            <w:gridSpan w:val="3"/>
          </w:tcPr>
          <w:p>
            <w:pPr>
              <w:ind w:left="2160"/>
              <w:spacing w:after="0"/>
              <w:rPr>
                <w:sz w:val="20"/>
                <w:szCs w:val="20"/>
                <w:color w:val="auto"/>
              </w:rPr>
            </w:pPr>
            <w:r>
              <w:rPr>
                <w:rFonts w:ascii="Arial" w:cs="Arial" w:eastAsia="Arial" w:hAnsi="Arial"/>
                <w:sz w:val="18"/>
                <w:szCs w:val="18"/>
                <w:color w:val="auto"/>
              </w:rPr>
              <w:t>By:   /s/ Gerald M. Haines II</w:t>
            </w:r>
          </w:p>
        </w:tc>
      </w:tr>
      <w:tr>
        <w:trPr>
          <w:trHeight w:val="291"/>
        </w:trPr>
        <w:tc>
          <w:tcPr>
            <w:tcW w:w="3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Gerald M. Haines II</w:t>
            </w:r>
          </w:p>
        </w:tc>
        <w:tc>
          <w:tcPr>
            <w:tcW w:w="2980" w:type="dxa"/>
            <w:vAlign w:val="bottom"/>
          </w:tcPr>
          <w:p>
            <w:pPr>
              <w:spacing w:after="0"/>
              <w:rPr>
                <w:sz w:val="24"/>
                <w:szCs w:val="24"/>
                <w:color w:val="auto"/>
              </w:rPr>
            </w:pPr>
          </w:p>
        </w:tc>
      </w:tr>
      <w:tr>
        <w:trPr>
          <w:trHeight w:val="270"/>
        </w:trPr>
        <w:tc>
          <w:tcPr>
            <w:tcW w:w="36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w w:val="90"/>
              </w:rPr>
              <w:t>Executive Vice President, Chief Financial Officer, and Treasurer</w:t>
            </w:r>
          </w:p>
        </w:tc>
      </w:tr>
      <w:tr>
        <w:trPr>
          <w:trHeight w:val="716"/>
        </w:trPr>
        <w:tc>
          <w:tcPr>
            <w:tcW w:w="3620" w:type="dxa"/>
            <w:vAlign w:val="bottom"/>
          </w:tcPr>
          <w:p>
            <w:pPr>
              <w:spacing w:after="0"/>
              <w:rPr>
                <w:sz w:val="24"/>
                <w:szCs w:val="24"/>
                <w:color w:val="auto"/>
              </w:rPr>
            </w:pPr>
          </w:p>
        </w:tc>
        <w:tc>
          <w:tcPr>
            <w:tcW w:w="2700" w:type="dxa"/>
            <w:vAlign w:val="bottom"/>
          </w:tcPr>
          <w:p>
            <w:pPr>
              <w:jc w:val="right"/>
              <w:ind w:right="670"/>
              <w:spacing w:after="0"/>
              <w:rPr>
                <w:sz w:val="20"/>
                <w:szCs w:val="20"/>
                <w:color w:val="auto"/>
              </w:rPr>
            </w:pPr>
            <w:r>
              <w:rPr>
                <w:rFonts w:ascii="Arial" w:cs="Arial" w:eastAsia="Arial" w:hAnsi="Arial"/>
                <w:sz w:val="18"/>
                <w:szCs w:val="18"/>
                <w:color w:val="auto"/>
              </w:rPr>
              <w:t>4</w:t>
            </w:r>
          </w:p>
        </w:tc>
        <w:tc>
          <w:tcPr>
            <w:tcW w:w="166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60"/>
      </w:cols>
      <w:pgMar w:left="240" w:top="95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2019-12-06T08:17:37Z</dcterms:created>
  <dcterms:modified xsi:type="dcterms:W3CDTF">2019-12-06T08:17:37Z</dcterms:modified>
</cp:coreProperties>
</file>